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9C_527/2015 vom 18. September 2015</w:t>
      </w:r>
    </w:p>
    <w:p>
      <w:r>
        <w:t>Bundesgericht, 2015-09-18, DE</w:t>
      </w:r>
    </w:p>
    <w:p>
      <w:r>
        <w:rPr>
          <w:b/>
        </w:rPr>
        <w:t xml:space="preserve">Quelle: </w:t>
      </w:r>
      <w:r>
        <w:t>https://mcp.opencaselaw.ch/entscheid/bger_9C_527_2015</w:t>
      </w:r>
    </w:p>
    <w:p>
      <w:r>
        <w:t>FR: TF 9C_527/2015 du 18 septembre 2015</w:t>
      </w:r>
    </w:p>
    <w:p>
      <w:r>
        <w:t>IT: TF 9C_527/2015 del 18 settembre 2015</w:t>
      </w:r>
    </w:p>
    <w:p>
      <w:pPr>
        <w:pStyle w:val="Heading2"/>
      </w:pPr>
      <w:r>
        <w:t>Volltext</w:t>
      </w:r>
    </w:p>
    <w:p>
      <w:r>
        <w:t>Bundesgericht</w:t>
      </w:r>
    </w:p>
    <w:p>
      <w:r>
        <w:t>Tribunal fédéral</w:t>
      </w:r>
    </w:p>
    <w:p>
      <w:r>
        <w:t>Tribunale federale</w:t>
      </w:r>
    </w:p>
    <w:p>
      <w:r>
        <w:t>Tribunal federal</w:t>
      </w:r>
    </w:p>
    <w:p>
      <w:r>
        <w:t>9C_527/2015 {T 0/2}</w:t>
      </w:r>
    </w:p>
    <w:p>
      <w:r>
        <w:t>Urteil vom 18. September 2015</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4. Juni 2015.</w:t>
      </w:r>
    </w:p>
    <w:p>
      <w:r>
        <w:t>Nach Einsicht</w:t>
      </w:r>
    </w:p>
    <w:p>
      <w:r>
        <w:t>in die Beschwerde vom 14. Juli 2015 (Poststempel) gegen den Entscheid des Bundesverwaltungsgerichts vom 4. Juni 2015, mit dem es auf eine von A.________ erhobene Beschwerde nicht eingetreten ist,</w:t>
      </w:r>
    </w:p>
    <w:p>
      <w:r>
        <w:t>in die Mitteilung des Bundesgerichts vom 29. Juli 2015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gemäss Art. 44-48 BGG am 18. August 2015 abgelaufenen, nicht erstreckbaren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Eingabe des Beschwerdeführers diesen inhaltlichen Mindestanforderungen offensichtlich nicht genügt, da sie auch nicht ansatzweise Ausführungen zur Eintretensfrage enthält,</w:t>
      </w:r>
    </w:p>
    <w:p>
      <w:r>
        <w:t>dass im Übrigen die beantragte "Teilrevision des Schweizerischen Zivilgesetzbuches (BGG) " nicht in der Zuständigkeit des Bundesgerichts, sondern in jener der Bundesversammlung als Gesetzgeber liegt (vgl. Art. 122 Abs. 1 in Verbindung mit Art. 163 Abs. 1 BV ; vgl. auch Art. 190 BV ),</w:t>
      </w:r>
    </w:p>
    <w:p>
      <w:r>
        <w:t>dass deshalb im vereinfachten Verfahren nach Art. 108 Abs. 1 lit. a und b sowie Abs. 2 BGG auf die Beschwerde nicht einzutreten ist,</w:t>
      </w:r>
    </w:p>
    <w:p>
      <w:r>
        <w:t>dass der Beschwerdeführer grundsätzlich kostenpflichtig wird, indessen umständehalber auf die Erhebung von Gerichtskosten verzichtet wird ( Art. 66 Abs. 1 BGG ),</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18. September 2015</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