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9C_527/2008 vom 29. Juni 2009</w:t>
      </w:r>
    </w:p>
    <w:p>
      <w:r>
        <w:t>Bundesgericht, 2009-06-29, FR</w:t>
      </w:r>
    </w:p>
    <w:p>
      <w:r>
        <w:rPr>
          <w:b/>
        </w:rPr>
        <w:t xml:space="preserve">Quelle: </w:t>
      </w:r>
      <w:r>
        <w:t>https://mcp.opencaselaw.ch/entscheid/bger_9C_527_2008</w:t>
      </w:r>
    </w:p>
    <w:p>
      <w:r>
        <w:t>FR: TF 9C_527/2008 du 29 juin 2009</w:t>
      </w:r>
    </w:p>
    <w:p>
      <w:r>
        <w:t>IT: TF 9C_527/2008 del 29 giugno 2009</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par ailleurs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w:t>
      </w:r>
    </w:p>
    <w:p>
      <w:r>
        <w:rPr>
          <w:b/>
        </w:rPr>
        <w:t>E. 2.1</w:t>
      </w:r>
    </w:p>
    <w:p>
      <w:r>
        <w:t>Selon un principe général du droit des assurances sociales,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 art. 53 al. 2 LPGA ; ATF 133 V 50 consid. 4.1 p. 52).</w:t>
      </w:r>
    </w:p>
    <w:p>
      <w:r>
        <w:rPr>
          <w:b/>
        </w:rPr>
        <w:t>E. 2.2</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arrêts 9C_71/2008 du 14 mars 2008 consid. 2, 9C_575/2007 du 18 octobre 2007 consid. 2.2).</w:t>
      </w:r>
    </w:p>
    <w:p>
      <w:r>
        <w:rPr>
          <w:b/>
        </w:rPr>
        <w:t>E. 3</w:t>
      </w:r>
    </w:p>
    <w:p>
      <w:r>
        <w:t>Le litige porte sur la question de savoir si l'OAI était fondé, par sa décision du 16 octobre 2007, à supprimer la rente entière d'invalidité dont bénéficiait le recourant depuis le 1er décembre 1996.</w:t>
      </w:r>
    </w:p>
    <w:p>
      <w:r>
        <w:rPr>
          <w:b/>
        </w:rPr>
        <w:t>E. 4.1</w:t>
      </w:r>
    </w:p>
    <w:p>
      <w:r>
        <w:t>Examinant si les conditions de la reconsidération étaient remplies, le Tribunal des assurances a retenu que l'octroi de la rente d'invalidité par décision de l'OAI du 16 juin 1997 se fondait sur des avis médicaux lacunaires, sans qu'une expertise n'ait été mise en oeuvre. Il a ensuite considéré qu'il y avait lieu de se fonder sur l'expertise de l'Hôpital X.________ laquelle avait pleine valeur probante. De ces constatations, les premiers juges en ont déduit que le droit à la rente n'était pas et n'avait jamais été ouvert, de sorte que les conditions d'une reconsidération était réunies.</w:t>
      </w:r>
    </w:p>
    <w:p>
      <w:r>
        <w:rPr>
          <w:b/>
        </w:rPr>
        <w:t>E. 4.2</w:t>
      </w:r>
    </w:p>
    <w:p>
      <w:r>
        <w:t>Ce faisant, les premiers juges ont méconnu le principe rappelé plus haut (cf. consid. 2.2) selon lequel les conditions pour reconsidérer une décision doivent être appréciées à la lumière des circonstances de fait et de droit régnant à l'époque où cette décision a été rendue. En effet, plutôt que d'apprécier les éléments ayant conduit l'administration à allouer une rente entière au recourant, les premiers juges ont procédé comme s'ils statuaient pour la première fois sur les droits de l'assuré et ont apprécié sa situation juridique à la lumière exclusivement des données médicales recueillies à l'occasion de la procédure de révision de la rente. Or, une appréciation médicale différente ultérieure ne suffit pas pour faire apparaître comme manifestement erronée la décision du 16 juin 1997. Dans la mesure où la juridiction cantonale n'a posé aucune constatation de fait quant au point de savoir si la décision de rente du 16 juin 1997 était manifestement erronée, les faits ont été établis de façon lacunaire au sens de l' art. 105 al. 2 LTF . Il n'incombe cependant pas au Tribunal fédéral de substituer sa propre appréciation à celle de la juridiction cantonale et de procéder lui-même à la constatation des faits pertinents lorsque ceux-ci supposent l'appréciation de preuves sur le plan médical et professionnel (cf. SVR 2008 IV n° 53 p. 177 consid. 4.2). Il convient dès lors de renvoyer la cause à la juridiction cantonale afin qu'elle se prononce sur l'admissibilité de la reconsidération de la décision du 16 juin 1997, non sans avoir préalablement complété ses constatations de fait sur ce point.</w:t>
      </w:r>
    </w:p>
    <w:p>
      <w:r>
        <w:rPr>
          <w:b/>
        </w:rPr>
        <w:t>E. 5</w:t>
      </w:r>
    </w:p>
    <w:p>
      <w:r>
        <w:t>Il résulte de ce qui précède que le recours doit être admis et la décision attaquée annulée. Au vu de l'issue du recours et la violation qualifiée dans l'application des règles de droit, les frais judiciaires et les dépens sont mis à la charge du canton (art. 66 al. 3 et 68 al. 4 LTF; ATF 133 V 402 consid. 5 p. 407 s.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