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9C_526/2020 vom 12. April 2021</w:t>
      </w:r>
    </w:p>
    <w:p>
      <w:r>
        <w:t>Bundesgericht, 2021-04-12, DE</w:t>
      </w:r>
    </w:p>
    <w:p>
      <w:r>
        <w:rPr>
          <w:b/>
        </w:rPr>
        <w:t xml:space="preserve">Quelle: </w:t>
      </w:r>
      <w:r>
        <w:t>https://mcp.opencaselaw.ch/entscheid/bger_9C_526_2020</w:t>
      </w:r>
    </w:p>
    <w:p>
      <w:r>
        <w:t>FR: TF 9C_526/2020 du 12 avril 2021</w:t>
      </w:r>
    </w:p>
    <w:p>
      <w:r>
        <w:t>IT: TF 9C_526/2020 del 12 aprile 2021</w:t>
      </w:r>
    </w:p>
    <w:p>
      <w:pPr>
        <w:pStyle w:val="Heading2"/>
      </w:pPr>
      <w:r>
        <w:t>Erwägungen</w:t>
      </w:r>
    </w:p>
    <w:p>
      <w:r>
        <w:rPr>
          <w:b/>
        </w:rPr>
        <w:t>E. 1.1</w:t>
      </w:r>
    </w:p>
    <w:p>
      <w:r>
        <w:t>Mit der Beschwerde in öffentlich-rechtlichen Angelegenheiten kann namentlich die Verletzung von Bundesrecht mit Einschluss der Bundesverfassung gerügt werden ( Art. 95 lit. a BGG ). Das Bundesgericht wendet das Recht von Amtes wegen an ( Art. 106 Abs. 1 BGG ), doch prüft es unter Berücksichtigung der allgemeinen Rüge- und Begründungspflicht ( Art. 42 Abs. 2 BGG ) grundsätzlich nur die geltend gemachten Rechtswidrigkeiten, sofern die rechtlichen Mängel nicht geradezu offensichtlich sind ( BGE 141 V 234 E. 1 S. 236 mit Hinweisen). Unerlässlich ist im Hinblick auf Art. 42 Abs. 2 BGG , dass die Beschwerde auf die Begründung des angefochtenen Entscheides eingeht und im Einzelnen aufzeigt, worin eine Verletzung von Bundesrecht liegt ( BGE 134 V 53 E. 3.3 S. 60 und 133 IV 286 E. 1.4 S. 287). Die beschwerdeführende Partei, welche die Sachverhaltsfeststellungen der Vorinstanz anfechten will, muss substanziiert darlegen, inwiefern die Voraussetzungen einer Ausnahme gemäss Art. 105 Abs. 2 BGG gegeben sind und das Verfahren bei rechtskonformer Ermittlung des Sachverhalts anders ausgegangen wäre; andernfalls kann ein Sachverhalt, der vom im angefochtenen Entscheid festgestellten abweicht, nicht berücksichtigt werden ( BGE 140 III 16 E. 1.3.1 S. 18 mit Hinweisen). Wenn der angefochtene Entscheid auf mehreren selbständigen Begründungen beruht, ist zudem für jede einzelne Alternativbegründung darzutun, weshalb sie Recht verletzt ( BGE 142 III 364 E. 2.4 S. 368; 138 III 728 E. 3.4 S. 734 f.; 133 IV 119 E. 6.3 S. 120 f.).</w:t>
      </w:r>
    </w:p>
    <w:p>
      <w:r>
        <w:rPr>
          <w:b/>
        </w:rPr>
        <w:t>E. 1.2</w:t>
      </w:r>
    </w:p>
    <w:p>
      <w:r>
        <w:t>Wie dem angefochtenen Entscheid zu entnehmen ist, behauptete der Beschwerdeführer, ohne die falsche Auskunft hätte er erst gar keine Scheidung eingereicht, daraus all seine finanziellen Nachteile resultierten. Die Vorinstanz hat diese Kausalität zwischen Vertrauen (Auskunft) und Vertrauensbetätigung (Einreichen der Scheidung) verneint. Als Eventualbegründung ("selbst wenn") legte sie zudem dar, selbst wenn sich die Durchführung der Ehescheidung einzig nach den pekuniären Folgen der Rentenansprüche richten würde, wäre ein solches Verhalten nicht zu schützen. Es sei nicht ausgewiesen, dass der Beschwerdeführer in Kenntnis des korrekten Rentenbetrages den monatlichen Ehegattenunterhalt von Fr. 130.- nicht hätte bezahlen müssen.</w:t>
      </w:r>
    </w:p>
    <w:p>
      <w:r>
        <w:rPr>
          <w:b/>
        </w:rPr>
        <w:t>E. 1.3</w:t>
      </w:r>
    </w:p>
    <w:p>
      <w:r>
        <w:t>Der Beschwerdeführer setzt sich nicht damit auseinander, inwiefern das kantonale Gericht Bundesrecht verletzt haben soll, indem es einen Kausalzusammenhang zwischen dem Vertrauen und der gestützt darauf erfolgten Disposition verneinte. Daran vermögen die allgemeinen Ausführungen in der Beschwerde zum Sachverhalt und Berechnung des Ehegattenunterhalts nichts zu ändern. Auf die Beschwerde ist daher mangels hinreichender Begründung nicht einzutreten.</w:t>
      </w:r>
    </w:p>
    <w:p>
      <w:r>
        <w:rPr>
          <w:b/>
        </w:rPr>
        <w:t>E. 2</w:t>
      </w:r>
    </w:p>
    <w:p>
      <w:r>
        <w:t>Dem Ausgang des Verfahrens entsprechend trägt der Beschwerdeführer die Gerichtskosten ( Art. 66 Abs. 1 BGG ). Die Beschwerdegegnerin hat als mit öffentlich-rechtlichen Aufgaben betraute Institution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