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526/2015 vom 11. September 2015</w:t>
      </w:r>
    </w:p>
    <w:p>
      <w:r>
        <w:t>Bundesgericht, 2015-09-11, DE</w:t>
      </w:r>
    </w:p>
    <w:p>
      <w:r>
        <w:rPr>
          <w:b/>
        </w:rPr>
        <w:t xml:space="preserve">Quelle: </w:t>
      </w:r>
      <w:r>
        <w:t>https://mcp.opencaselaw.ch/entscheid/bger_9C_526_2015</w:t>
      </w:r>
    </w:p>
    <w:p>
      <w:r>
        <w:t>FR: TF 9C 526/2015 du 11 septembre 2015</w:t>
      </w:r>
    </w:p>
    <w:p>
      <w:r>
        <w:t>IT: TF 9C 526/2015 del 11 settembre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gesetzlichen Bestimmungen zur Erwerbsunfähigkeit ( Art. 8 Abs. 1 ATSG ), zur Invalidität ( Art. 4 Abs. 1 IVG ), zum Rentenanspruch ( Art. 28 Abs. 2 IVG ) und zur Revision von Rentenleistungen ( Art. 17 Abs. 1 ATSG ; Art. 88a IVV ) zutreffend dargelegt. Richtig wiedergegeben hat sie sodann den Grundsatz der freien Beweiswürdigung (vgl. Art. 61 lit. c ATSG ) sowie die Rechtsprechung bezüglich der Würdigung ärztlicher Berichte und Gutachten ( BGE 125 V 351 E. 3a S. 352). Darauf wird verwiesen.</w:t>
      </w:r>
    </w:p>
    <w:p>
      <w:r>
        <w:rPr>
          <w:b/>
        </w:rPr>
        <w:t>E. 3.1</w:t>
      </w:r>
    </w:p>
    <w:p>
      <w:r>
        <w:t>Das kantonale Versicherungsgericht hat das Vorliegen eines Revisionsgrundes bejaht, wobei es von einer Arbeitsfähigkeit des Versicherten von 50 % in angepasster Tätigkeit ausgegangen ist. Das Valideneinkommen hat es gestützt auf die konkreten Verhältnisse für 2013 auf Fr. 82'500.- festgelegt. Zur Bemessung des Invalideneinkommens hat es die Schweizerische Lohnstrukturerhebung 2010 (TA1, Anforderungsniveau 4, Männer, Total; nachfolgend: LSE) herangezogen, den resultierenden Betrag indexiert, an die betriebsübliche wöchentliche Arbeitszeit (2013) von 41.7 Stunden angepasst (Fr. 62'823.-) und einen Abzug vom Tabellenlohn von 20 % vorgenommen. Daraus hat die Vorinstanz ein Invalideneinkommen von Fr. 25'129.- (Fr. 62'829.- x 0.5 x 0.8) errechnet und dem Versicherten eine ganze Rente zugesprochen (Invaliditätsgrad [aufgerundet]: 70 %). Die Beschwerde führende IV-Stelle ist der Auffassung, das Versicherungsgericht hätte das Invalideneinkommen nach Massgabe der LSE 2012 festlegen müssen. Unter Berücksichtigung des Kompetenzniveaus 1 (LSE 2012, TA1, Männer, Total) hat sie - bei im Übrigen unveränderten Voraussetzungen (Arbeitsfähigkeit: 50 %; Valideneinkommen: Fr. 82'500.-; Abzug vom Tabellenlohn: 20 %) - indexiert und angepasst an die betriebsübliche wöchentliche Arbeitszeit (2013) ein höheres Invalideneinkommen (Fr. 26'261.60) ermittelt. In Anbetracht des resultierenden Invaliditätsgrads von 68 % stellt die Verwaltung den Anspruch des Versicherten auf eine ganze Rente in Abrede und bejaht einen solchen einzig im Hinblick auf eine Dreiviertelsrente.</w:t>
      </w:r>
    </w:p>
    <w:p>
      <w:r>
        <w:rPr>
          <w:b/>
        </w:rPr>
        <w:t>E. 3.2</w:t>
      </w:r>
    </w:p>
    <w:p>
      <w:r>
        <w:t>Unbestritten geblieben sind das Vorliegen eines Revisionsgrundes aufgrund einer neu vollumfänglichen Arbeitsunfähigkeit des Versicherten in der angestammten Tätigkeit im Versandcenter einer Bank ( Art. 17 Abs. 1 ATSG ), alsdann die zumutbare Restarbeitsfähigkeit von 50 % in angepasster Tätigkeit (vgl. Bericht der Ärztin des Regionalen Ärztlichen Dienstes [RAD], Dr. med. B._________, vom 17. Juli 2013), das ermittelte Valideneinkommen (Fr. 82'500.-) sowie der Abzug vom Tabellenlohn von 20 % (vgl. BGE 126 V 75 E. 5b/cc S. 80); weitere Ausführungen dazu erübrigen sich (vgl. BGE 133 II 249 E. 1.4 S. 254 f.). Im Streit liegt einzig, ob das Invalideneinkommen des Beschwerdegegners für 2013 im Rahmen des Einkommensvergleichs ( Art. 16 ATSG ) auf der Grundlage der LSE 2012 zu bestimmen ist (zur grundsätzlichen Anwendbarkeit von LSE-Tabellenlöhnen vgl. BGE 135 V 297 E. 5.2 S. 301).</w:t>
      </w:r>
    </w:p>
    <w:p>
      <w:r>
        <w:rPr>
          <w:b/>
        </w:rPr>
        <w:t>E. 3.2.1</w:t>
      </w:r>
    </w:p>
    <w:p>
      <w:r>
        <w:t>Für den Einkommensvergleich sind die Verhältnisse im Zeitpunkt des Rentenbeginns massgebend. Validen- und Invalideneinkommen sind auf zeitidentischer Grundlage zu erheben; allfällige rentenwirksame Änderungen der Vergleichseinkommen müssen bis zum Verfügungszeitpunkt berücksichtigt werden ( BGE 129 V 222 E. 4.1 und 4.2 S. 223 f.; Urteil 9C_22/2014 vom 18. Februar 2014 E. 4.3). Die korrekte Anwendung der LSE-Tabellen stellt eine frei überprüfbare Rechtsfrage dar ( BGE 132 V 393 E. 3.3 S. 399).</w:t>
      </w:r>
    </w:p>
    <w:p>
      <w:r>
        <w:rPr>
          <w:b/>
        </w:rPr>
        <w:t>E. 3.2.2</w:t>
      </w:r>
    </w:p>
    <w:p>
      <w:r>
        <w:t>Die Beschwerdeführerin verfügte am 31. Oktober 2013 über den Rentenanspruch des Versicherten. Zu diesem Zeitpunkt (E. 3.1.1) lagen die Zahlen der LSE 2012, die erst im Oktober 2014 veröffentlicht wurden (vgl. IV-Rundschreiben Nr. 328 vom 22. Oktober 2014), noch nicht vor. Insoweit konnten die aktuellsten statistischen Daten nur der im Verfügungszeitpunkt geltenden LSE 2010 entnommen werden (vgl. Urteil 8C_78/2015 vom 10. Juli 2015 E. 4). Das kantonale Versicherungsgericht hat demzufolge zur Ermittlung des Invalideneinkommens zu Recht auf die nämlichen LSE-Tabellenwerte 2010 (TA1, Total, Männer, Anforderungsniveau 4: Fr. 4'901.-) zurückgegriffen. Das ermittelte Invalideneinkommen (Fr. 25'129.-) hat es dem zeitidentischen Valideneinkommen (Fr. 82'500.-) gegenübergestellt und einen Invaliditätsgrad von (gerundet) 70 % ermittelt. Das Vorgehen des kantonalen Versicherungsgerichts ist bundesrechtskonform (E. 1); die Beschwerde ist abzuweisen.</w:t>
      </w:r>
    </w:p>
    <w:p>
      <w:r>
        <w:rPr>
          <w:b/>
        </w:rPr>
        <w:t>E. 4</w:t>
      </w:r>
    </w:p>
    <w:p>
      <w:r>
        <w:t>Mit dem sofortigen Urteil in der Sache wird das Gesuch um Gewährung der aufschiebenden Wirkung ( Art. 103 Abs. 1 und 3 BGG ) gegenstandslos.</w:t>
      </w:r>
    </w:p>
    <w:p>
      <w:r>
        <w:rPr>
          <w:b/>
        </w:rPr>
        <w:t>E. 5</w:t>
      </w:r>
    </w:p>
    <w:p>
      <w:r>
        <w:t>Dem Ausgang des Verfahrens entsprechend hat die Beschwerdeführerin die Gerichtskosten zu tragen ( Art. 66 Abs. 1 BGG ). Dem Beschwerdegegner steht keine Parteientschädigung zu, da ihm mangels Durchführung eines Schriftenwechsels kein nennenswerter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