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9C_523/2014 vom 19. November 2014</w:t>
      </w:r>
    </w:p>
    <w:p>
      <w:r>
        <w:t>Bundesgericht, 2014-11-19, DE</w:t>
      </w:r>
    </w:p>
    <w:p>
      <w:r>
        <w:rPr>
          <w:b/>
        </w:rPr>
        <w:t xml:space="preserve">Quelle: </w:t>
      </w:r>
      <w:r>
        <w:t>https://mcp.opencaselaw.ch/entscheid/bger_9C_523_2014</w:t>
      </w:r>
    </w:p>
    <w:p>
      <w:r>
        <w:t>FR: TF 9C_523/2014 du 19 novembre 2014</w:t>
      </w:r>
    </w:p>
    <w:p>
      <w:r>
        <w:t>IT: TF 9C_523/2014 del 19 novembre 2014</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1.2</w:t>
      </w:r>
    </w:p>
    <w:p>
      <w:r>
        <w:t>Entscheidwesentlich für das Eintreten auf die Neuanmeldung und vom kantonalen Gericht zu prüfen war, ob die von der Versicherten bei der IV-Stelle geltend gemachte erhebliche Veränderung ihres Gesundheitszustandes und damit der tatsächlichen Verhältnisse seit der Rentenverfügung vom 2. Februar 2011 glaubhaft sei. Dabei handelt es sich um den Entscheid über eine Tatfrage (Urteil 8C_55/2007 vom 20. November 2007 E. 2.2). Diese kann vom Bundesgericht nur im Rahmen von Art. 97 Abs. 1 BGG geprüft werden (E. 1.1).</w:t>
      </w:r>
    </w:p>
    <w:p>
      <w:r>
        <w:rPr>
          <w:b/>
        </w:rPr>
        <w:t>E. 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Die genannte Eintretensvoraussetzung soll verhindern, dass sich die Verwaltung immer wieder mit gleichlautenden und nicht näher begründeten Rentengesuchen befassen muss ( BGE 133 V 108 E. 5.3.1 S. 112 mit Hinweisen). Art. 87 Abs. 3 IVV beruht auf dem Grundgedanken, dass die Rechtskraft der früheren Verfügung einer neuen Prüfung so lange entgegensteht, als der seinerzeit beurteilte Sachverhalt sich in der Zwischenzeit nicht verändert hat. Um zu verhindern, dass sich die Verwaltung mit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wie bereits in BGE 109 V 264 f. E. 3 erwogen, u.a. berücksichtigen, ob die frühere Verfügung nur kurze oder schon längere Zeit zurückliegt, und dementsprechend an die Glaubhaftmachung höhere oder weniger hohe Anforderungen stellen (Urteil 9C_68/2007 vom 19. Oktober 2007 E. 3.3). Gelingt der versicherten Person die Glaubhaftmachung nicht, so wird auf das Gesuch nicht eingetreten. Ist die anspruchserhebliche Änderung glaubhaft gemacht, ist die Verwaltung verpflichtet, auf das neue Leistungsbegehren einzutreten und es in tatsächlicher und rechtlicher Hinsicht umfassend zu prüfen (vgl. BGE 117 V 198 E. 4b S. 200). Mit dem Beweismass des Glaubhaftmachens sind herabgesetzte Anforderungen an den Beweis verbunden; die Tatsachenänderung muss also nicht nach dem im Sozialversicherungsrecht sonst üblichen 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(SVR 2003 IV Nr. 25 S. 76, I 238/02 E. 2.2 und 2.3, 2002 IV Nr. 10 S. 25, I 724/99 E. 1c/aa).</w:t>
      </w:r>
    </w:p>
    <w:p>
      <w:r>
        <w:rPr>
          <w:b/>
        </w:rPr>
        <w:t>E. 3</w:t>
      </w:r>
    </w:p>
    <w:p>
      <w:r>
        <w:t>Die Vorinstanz kam zum Schluss, es sei nicht zu beanstanden, dass die Ärzte des RAD gestützt auf die Aktenlage eine Verschlechterung des Gesundheitszustandes als nicht glaubhaft beurteilten. Die Diagnose einer instabilen Persönlichkeitsstörung vom Borderline-Typ sei nach der Lage der Akten einzig aufgrund anamnestischer Angaben und ohne entsprechende Befunde gestellt worden. Die Alkoholabhängigkeit sei auf psychosoziale Umstände (Tod der Grossmutter) zurückzuführen. Die Schreiben von Dr. med. C.________ vom 23. Oktober 2013 und von Dr. phil. D.________ vom 3. Dezember 2013 vermöchten den praxisgemässen Anforderungen an einen Arztbericht nicht zu genügen. Dr. med. C.________ verlasse mit der Beurteilung einer psychischen Beeinträchtigung sein medizinisches Fachgebiet und Dr. phil. D.________ sei ebenfalls nicht Facharzt für Psychiatrie und Psychotherapie. Zudem seien diese Beurteilungen erst im Rahmen des Beschwerdeverfahrens ergangen, weshalb ein Einfluss versicherungstechnischer Überlegungen nicht ausgeschlossen werden könne. Somit sei gestützt auf die Aktenlage, wie sie sich zum Zeitpunkt der angefochtenen Verfügung präsentierte, keine anspruchserhebliche Verschlechterung glaubhaft gemacht worden.</w:t>
      </w:r>
    </w:p>
    <w:p>
      <w:r>
        <w:rPr>
          <w:b/>
        </w:rPr>
        <w:t>E. 4</w:t>
      </w:r>
    </w:p>
    <w:p>
      <w:r>
        <w:t>Die Beschwerdeführerin rügt, angesichts der herabgesetzten Anforderungen an das Beweismass hätten die Beschwerdegegnerin und die Vorinstanz einen zu hohen Massstab an die Glaubhaftmachung gestellt und damit Bundesrecht verletzt. Es komme einer willkürlichen Beweiswürdigung gleich, wenn sie ohne weitere Abklärungen annähmen, dass der übermässige Alkoholkonsum bloss psychosozial (Tod der Grossmutter) und damit bei der Invaliditätsbemessung nicht zu berücksichtigen sei. Der Hausarzt Dr. med. C.________ habe in seinem Bericht vom 23. Oktober 2013 aufgezeigt, dass zwischen der Suchterkrankung und der Persönlichkeitsstörung eine Wechselwirkung bestehe. Willkürlich sei ferner die Schlussfolgerung der Vorinstanz, dass der Bericht des Dr. phil. D.________ vom 3. Dezember 2013 keine Befundangaben enthalte. Der Psychologe habe in seinem Bericht dargelegt, dass sich die Leistungsfähigkeit und die Konzentrationsfähigkeit verschlechtert hätten. Zudem sei sie Stress-sensibel. Diese Angaben stellten Befunderhebungen im Rahmen der diagnostizierten Krankheitsbilder (instabile Persönlichkeitsstörung vom Borderline Typ, phobische und Zwangsstörungen) dar. In willkürlicher Würdigung des Berichts habe die Vorinstanz die Befundangaben unberücksichtigt gelassen. Angesichts der geschilderten Umstände sei es aber glaubhaft, dass der Gesundheitszustand sich im Vergleich zur Situation im Februar 2011, in der sie nach einer depressiven Episode wieder zu 100 % arbeitsfähig gewesen sei, wesentlich verschlechtert habe. Bereits im Verwaltungsverfahren seien genügend Anhaltspunkte für eine psychische Verschlechterung mit Einfluss auf die Arbeitsfähigkeit vorhanden gewesen, sodass die Beschwerdegegnerin verpflichtet gewesen wäre, auf die Neuanmeldung einzutreten und weitere medizinische Abklärungen zu treffen.</w:t>
      </w:r>
    </w:p>
    <w:p>
      <w:r>
        <w:rPr>
          <w:b/>
        </w:rPr>
        <w:t>E. 5</w:t>
      </w:r>
    </w:p>
    <w:p>
      <w:r>
        <w:t>Das Bundesgericht kann die Sachverhaltsfeststellung berichtigen, wenn sie offensichtlich unrichtig ist (E. 1.1). Davon ist hier auszugehen, denn der Hausarzt Dr. med. C.________ stellte die Diagnosen einer Alkoholabhängigkeit, einer instabilen Persönlichkeitsstörung vom Borderline-Typ, einer Zwangsstörung, einer depressiven Entwicklung und eines Status nach Substanzgebrauch (Kokain, LSD, Cannabis). Zudem äusserte er im Bericht vom 23. Oktober 2013 die Meinung, es sei wenig wahrscheinlich, dass die Versicherte je wieder im ersten Arbeitsmarkt erwerbsfähig werde. Noch in seinem Bericht vom 1. November 2010 bestätigte er, dass sie ab dem 23. August 2010 (dort) wieder zu 100 % arbeitsfähig sei. Der behandelnde Psychologe Dr. phil. D.________ diagnostizierte Zwangs- und phobische Störungen bei emotional instabiler Persönlichkeitsstörung. Dass der Hausarzt über seinen Fachbereich hinaus diagnostizierte und es sich beim behandelnden Psychologen nicht um einen psychiatrischen Facharzt handelt, ändert an der Aussagekraft der Ausführungen nichts, vielmehr hätte dies Anlass sein müssen, die Vorbringen spezialärztlich weiter abzuklären. Denn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 2). Die Sache ist an die Verwaltung zurückzuweisen, damit sie auf das Gesuch eintritt und die notwendigen Abklärungen trifft, bevor sie über den Rentenanspruch neu entscheidet.</w:t>
      </w:r>
    </w:p>
    <w:p>
      <w:r>
        <w:rPr>
          <w:b/>
        </w:rPr>
        <w:t>E. 6</w:t>
      </w:r>
    </w:p>
    <w:p>
      <w:r>
        <w:t>Das Verfahren ist kostenpflichtig ( Art. 65 BGG ). Die Gerichtskosten werden der unterliegenden Beschwerdegegnerin auferlegt (Art. 65 Abs. 4 lit. a in Verbindung mit Art. 66 Abs. 1 BGG ). Die Beschwerdegegnerin hat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