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520/2017 vom 28. August 2017</w:t>
      </w:r>
    </w:p>
    <w:p>
      <w:r>
        <w:t>Bundesgericht, 2017-08-28, DE</w:t>
      </w:r>
    </w:p>
    <w:p>
      <w:r>
        <w:rPr>
          <w:b/>
        </w:rPr>
        <w:t xml:space="preserve">Quelle: </w:t>
      </w:r>
      <w:r>
        <w:t>https://mcp.opencaselaw.ch/entscheid/bger_9C_520_2017</w:t>
      </w:r>
    </w:p>
    <w:p>
      <w:r>
        <w:t>FR: TF 9C 520/2017 du 28 août 2017</w:t>
      </w:r>
    </w:p>
    <w:p>
      <w:r>
        <w:t>IT: TF 9C 520/2017 del 28 agosto 2017</w:t>
      </w:r>
    </w:p>
    <w:p>
      <w:pPr>
        <w:pStyle w:val="Heading2"/>
      </w:pPr>
      <w:r>
        <w:t>Regeste</w:t>
      </w:r>
    </w:p>
    <w:p>
      <w:r>
        <w:t>Alters- und Hinterlassenenversicherung | Alters- und Hinterlassenenversicherung</w:t>
      </w:r>
    </w:p>
    <w:p>
      <w:pPr>
        <w:pStyle w:val="Heading2"/>
      </w:pPr>
      <w:r>
        <w:t>Volltext</w:t>
      </w:r>
    </w:p>
    <w:p>
      <w:r>
        <w:t>Bundesgericht IV. Öffentlich-rechtliche Abteilung 28.08.2017 9C 520/2017 (9C_520/2017) Tribunal fédéral IVe Cour de droit public (IIe Cour de droit social) 28.08.2017 9C 520/2017 (9C_520/2017) Tribunale federale IV Corte di diritto pubblico (II Corte di diritto sociale) 28.08.2017 9C 520/2017 (9C_520/2017)</w:t>
      </w:r>
    </w:p>
    <w:p>
      <w:r>
        <w:t>Alters- und Hinterlassenenversicherung | Alters- und Hinterlassenenversicherung</w:t>
      </w:r>
    </w:p>
    <w:p>
      <w:r>
        <w:t>Bundesgericht Tribunal fédéral Tribunale federale Tribunal federal 9C_520/2017 Urteil vom 28. August 2017 II. sozialrechtliche Abteilung Besetzung Bundesrichterin Pfiffner, Präsidentin, Gerichtsschreiber Furrer. Verfahrensbeteiligte A.________, Beschwerdeführerin, gegen Schweizerische Ausgleichskasse SAK, Avenue Edmond-Vaucher 18, 1203 Genf, Beschwerdegegnerin. Gegenstand Alters- und Hinterlassenenversicherung, Beschwerde gegen den Entscheid des Bundesverwaltungsgerichts vom 10. April 2017. Nach Einsicht in die Beschwerde vom 26. Juli 2017 (Poststempel: 12. August 2017) gegen den Entscheid des Bundesverwaltungsgerichts vom 10. April 2017, in Erwägung, dass die Beschwerde nicht innert der nach Art. 100 Abs. 1 BGG 30-tägigen, gemäss Art. 44 - 48 BGG am 23. Mai 2017 abgelaufenen Rechtsmittelfrist eingereicht worden ist, dass eine versäumte Frist gemäss Art. 50 Abs. 1 BGG auf Antrag hin wiederhergestellt werden kann, wenn die Gesuch stellende Person oder deren Vertretung unverschuldet abgehalten worden ist, fristgerecht zu handeln, dass in der Eingabe vom 26. Juli 2017 keine Gründe dargetan werden, welche nach der bundesgerichtlichen Rechtsprechung Anlass für eine Fristwiederherstellung bildeten, hat sich doch die Beschwerdeführerin das fehlerhafte Verhalten der von ihr beigezogenen Hilfsperson - als solche ist ihr Vater zu betrachten, der Postsendungen für sie entgegenzunehmen hatte, - anrechnen zu lassen ( BGE 114 Ib 67 E. 2e S. 75 f.; AMSTUTZ/ARNOLD, in: Basler Kommentar, Bundesgerichtsgesetz, 2. Aufl. 2011, S. 580 f. N. 5 und 8 zu Art. 50 BGG ), dass die Beschwerde überdies den inhaltlichen Mindestanforderungen gemäss Art. 42 Abs. 1 und 2 BGG nicht genügt, da den Ausführungen nicht entnommen werden kann, inwiefern die vorinstanzliche Sachverhaltsfeststellung im Sinne von Art. 97 Abs. 1 BGG - soweit überhaupt beanstandet - qualifiziert unzutreffend und die darauf beruhenden Erwägungen rechtsfehlerhaft sein sollen, dass deshalb im vereinfachten Verfahren nach Art. 108 Abs. 1 lit. a und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Bundesverwaltungsgericht und dem Bundesamt für Sozialversicherungen schriftlich mitgeteilt. Luzern, 28. August 2017 Im Namen der II. sozialrechtlichen Abteilung des Schweizerischen Bundesgerichts Die Präsidentin: Pfiffner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