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9C_520/2007 vom 9. Januar 2008</w:t>
      </w:r>
    </w:p>
    <w:p>
      <w:r>
        <w:t>Bundesgericht, 2008-01-09, DE</w:t>
      </w:r>
    </w:p>
    <w:p>
      <w:r>
        <w:rPr>
          <w:b/>
        </w:rPr>
        <w:t xml:space="preserve">Quelle: </w:t>
      </w:r>
      <w:r>
        <w:t>https://mcp.opencaselaw.ch/entscheid/bger_9C_520_2007</w:t>
      </w:r>
    </w:p>
    <w:p>
      <w:r>
        <w:t>FR: TF 9C_520/2007 du 9 janvier 2008</w:t>
      </w:r>
    </w:p>
    <w:p>
      <w:r>
        <w:t>IT: TF 9C_520/2007 del 9 gennaio 2008</w:t>
      </w:r>
    </w:p>
    <w:p>
      <w:pPr>
        <w:pStyle w:val="Heading2"/>
      </w:pPr>
      <w:r>
        <w:t>Erwägungen</w:t>
      </w:r>
    </w:p>
    <w:p>
      <w:r>
        <w:rPr>
          <w:b/>
        </w:rPr>
        <w:t>E. 1.1</w:t>
      </w:r>
    </w:p>
    <w:p>
      <w:r>
        <w:t>Im verwaltungsgerichtlichen Beschwerdeverfahren sind grundsätzlich nur Rechtsverhältnisse zu überprüfen bzw.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 BGE 131 V 164 E. 2.1, 125 V 414 E. 1a, 119 Ib 36 E. 1b, je mit Hinweisen). Streitgegenstand im System der nachträglichen Verwaltungsrechtspflege ist das Rechtsverhältnis, welches - im Rahmen des durch die Verfügung bestimmten Anfechtungsgegenstandes - den auf Grund der Beschwerdebegehren effektiv angefochtenen Verfügungsgegenstand bildet. Nach dieser Begriffsumschreibung sind Anfechtungsgegenstand und Streitgegenstand identisch, wenn die Verwaltungsverfügung insgesamt angefochten wird. Nach der Rechtsprechung kann das verwaltungsgerichtliche Verfahren aus prozessökonomischen Gründen auf eine ausserhalb des Anfechtungsgegenstandes, d.h. ausserhalb des durch die Verfügung bestimmten Rechtsverhältnisses liegende spruchreife Frage ausgedehnt werden, wenn diese mit dem bisherigen Streitgegenstand derart eng zusammenhängt, dass von einer Tatbestandsgesamtheit gesprochen werden kann, und wenn sich die Verwaltung zu dieser Streitfrage mindestens in Form einer Prozesserklärung geäussert hat ( BGE 130 V 503 , 122 V 34 E. 2a S. 36 mit Hinweisen).</w:t>
      </w:r>
    </w:p>
    <w:p>
      <w:r>
        <w:rPr>
          <w:b/>
        </w:rPr>
        <w:t>E. 1.2</w:t>
      </w:r>
    </w:p>
    <w:p>
      <w:r>
        <w:t>Streitgegenstand des kantonalen Gerichtsverfahrens war demnach die Situation, wie sie sich bis zum Zeitpunkt des Einspracheentscheides am 4. August 2006 präsentierte, mit welchem die Beschwerdeführerin das bisher ausgerichtete Taggeld einstellte. Da sie sich in ihrer vorinstanzlichen Beschwerdeantwort vom 11. Oktober 2006 klar gegen die Annahme einer 50-prozentigen Arbeitsunfähigkeit stellte, hat sie sich zu dieser Streitfrage mindestens in Form einer Prozesserklärung geäussert. Soweit das kantonale Gericht aber eine 100-prozentige Arbeitsunfähigkeit ab 18. Dezember 2006 feststellte, urteilte es über etwas, worüber die Beschwerdeführerin noch gar nicht entschieden hatte, und das daher gar nicht Streitgegenstand war, zumal dafür nun eine psychiatrische Diagnose massgebend war, nachdem die frühere Arbeitsunfähigkeit nicht psychisch begründet war. Darüber zu entscheiden bestand umso weniger Anlass, als die Beschwerdeführerin selber bereits eine psychiatrische Begutachtung in Auftrag gegeben hatte. Insoweit die Vorinstanz ab 18. Dezember 2006 ein Taggeld auf der Grundlage einer 100-prozentigen Arbeitsunfähigkeit festgelegt hat, ist ihr Entscheid daher aufzuheben.</w:t>
      </w:r>
    </w:p>
    <w:p>
      <w:r>
        <w:rPr>
          <w:b/>
        </w:rPr>
        <w:t>E. 2</w:t>
      </w:r>
    </w:p>
    <w:p>
      <w:r>
        <w:t>Zu beurteilen bleibt nach dem Ausgeführten die Einstellung des Taggeldanspruchs per 1. Juli 2006.</w:t>
      </w:r>
    </w:p>
    <w:p>
      <w:r>
        <w:rPr>
          <w:b/>
        </w:rPr>
        <w:t>E. 2.1</w:t>
      </w:r>
    </w:p>
    <w:p>
      <w:r>
        <w:t>Das kantonale Gericht hat in materiell- und beweisrechtlicher Hinsicht die für die Beurteilung des Anspruchs auf Leistungen der freiwilligen Taggeldversicherung nach KVG massgeblichen Grundlagen ( Art. 6 ATSG , Art. 67-77 KVG und 107-109 KVV sowie die diesbezügliche Rechtsprechung) zutreffend dargelegt. Es wird auf die vorinstanzliche Erwägung 1 verwiesen.</w:t>
      </w:r>
    </w:p>
    <w:p>
      <w:r>
        <w:rPr>
          <w:b/>
        </w:rPr>
        <w:t>E. 2.2</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w:t>
      </w:r>
    </w:p>
    <w:p>
      <w:r>
        <w:rPr>
          <w:b/>
        </w:rPr>
        <w:t>E. 3</w:t>
      </w:r>
    </w:p>
    <w:p>
      <w:r>
        <w:t>Die Beschwerdeführerin hat die Einstellung des Taggeldanspruchs per 1. Juli 2006 damit begründet, die Beschwerdegegnerin sei ab diesem Zeitpunkt wieder vollständig arbeitsfähig. Die Vorinstanz hat demgegenüber bloss eine 50-prozentige Arbeitsfähigkeit angenommen. Es handelt sich dabei um eine Sachverhaltsfeststellung, die für das Bundesgericht verbindlich ist (vgl. E. 2.2), sofern sie sich nicht als offensichtlich unrichtig erweist, was hier aber nicht der Fall ist. Denn wie die Vorinstanz zutreffend ausführt, ist die Arbeitsunfähigkeit der Beschwerdegegnerin zumindest bis und mit September 2006 fachärztlich attestiert (vgl. Bericht Dr. med. M.________/Prof. Dr. med H._______, Spital X.________, vom 7. November 2006 über die ambulante Nachkontrolle vom 18. September 2006). Nach dem 18. September 2006 fanden aber am Spital X.________ keine Nachkontrollen mehr statt und es liegen für die Folgezeit auch keine anderen ärztlichen Berichte vor.</w:t>
      </w:r>
    </w:p>
    <w:p>
      <w:r>
        <w:rPr>
          <w:b/>
        </w:rPr>
        <w:t>E. 4</w:t>
      </w:r>
    </w:p>
    <w:p>
      <w:r>
        <w:t>Insgesamt bleibt es somit gemäss dem angefochtenen Entscheid (soweit er hier nicht aufgehoben wird) bei einem Taggeld auf der Basis einer 50-prozentigen Arbeitsunfähigkeit bis Ende September 2006. Für die Zeit danach wird die Beschwerdeführerin die Arbeitsfähigkeit neu zu beurteilen und im Streitfall über den Taggeldanspruch neu zu verfügen haben.</w:t>
      </w:r>
    </w:p>
    <w:p>
      <w:r>
        <w:rPr>
          <w:b/>
        </w:rPr>
        <w:t>E. 5</w:t>
      </w:r>
    </w:p>
    <w:p>
      <w:r>
        <w:t>Hat keine Partei vollständig obsiegt, können die Kosten verhältnismässig verlegt werden (s. Art. 66 Abs. 1 BGG ).</w:t>
      </w:r>
    </w:p>
    <w:p>
      <w:r>
        <w:rPr>
          <w:b/>
        </w:rPr>
        <w:t>E. 6</w:t>
      </w:r>
    </w:p>
    <w:p>
      <w:r>
        <w:t>Die Beschwerde ist im vereinfachten Verfahren ( Art. 109 Abs. 3 BGG ) zu erledigen.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