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9C_51/2020 vom 17. November 2020</w:t>
      </w:r>
    </w:p>
    <w:p>
      <w:r>
        <w:t>Bundesgericht, 2020-11-17, DE</w:t>
      </w:r>
    </w:p>
    <w:p>
      <w:r>
        <w:rPr>
          <w:b/>
        </w:rPr>
        <w:t xml:space="preserve">Quelle: </w:t>
      </w:r>
      <w:r>
        <w:t>https://mcp.opencaselaw.ch/entscheid/bger_9C_51_2020</w:t>
      </w:r>
    </w:p>
    <w:p>
      <w:r>
        <w:t>FR: TF 9C_51/2020 du 17 novembre 2020</w:t>
      </w:r>
    </w:p>
    <w:p>
      <w:r>
        <w:t>IT: TF 9C_51/2020 del 17 novembre 2020</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eine freie Überprüfung des vorinstanzlichen Entscheids in tatsächlicher Hinsicht zu unterbleiben. Ebenso entfällt eine Prüfung der Ermessensbetätigung nach den Grundsätzen zur Angemessenheitskontrolle.</w:t>
      </w:r>
    </w:p>
    <w:p>
      <w:r>
        <w:rPr>
          <w:b/>
        </w:rPr>
        <w:t>E. 2</w:t>
      </w:r>
    </w:p>
    <w:p>
      <w:r>
        <w:t>Die Vorinstanz hat die zu Art. 23 lit. a BGG ergangene Rechtsprechung, namentlich diejenige über den erforderlichen engen sachlichen und zeitlichen Zusammenhang zwischen der Invalidität und der während der Dauer des Vorsorgeverhältnisses eingetretenen Arbeitsunfähigkeit und die Verbindlichkeitswirkung der von den IV-Organen getroffenen Feststellungen für die Vorsorgeeinrichtungen ( BGE 134 V 20 E. 3.2 S. 22; 133 V 67 E. 4.3.2 S. 69; 130 V 270 E. 3.1 S. 273; vgl. auch BGE 144 V 63 E. 4.1.1 S. 66), zutreffend dargelegt.</w:t>
      </w:r>
    </w:p>
    <w:p>
      <w:r>
        <w:t>Hervorzuheben sind die vorinstanzlichen Ausführungen, wonach sich eine gesundheitliche Beeinträchtigung rechtsprechungsgemäss auf das Arbeitsverhältnis sinnfällig auswirken muss; die Einbusse an funktionellem Leistungsvermögen muss mit anderen Worten arbeitsrechtlich in Erscheinung getreten sein, etwa durch einen Leistungsabfall mit entsprechender Feststellung oder gar Ermahnung des Arbeitgebers oder durch gehäufte, aus dem Rahmen fallende krankheitsbedingte Arbeitsausfälle. Eine erst nach Jahren rückwirkend festgelegte medizinisch-theoretische Arbeitsunfähigkeit, ohne dass der seinerzeitige Arbeitgeber eine Leistungseinbusse bemerkt hätte, genügt nicht (SVR 2008 BVG Nr. 34 S. 143, 9C_127/2008 E. 2.3; IV Nr. 11 S. 32, I 687/06 E. 5.1).</w:t>
      </w:r>
    </w:p>
    <w:p>
      <w:r>
        <w:rPr>
          <w:b/>
        </w:rPr>
        <w:t>E. 3</w:t>
      </w:r>
    </w:p>
    <w:p>
      <w:r>
        <w:t>Das kantonale Gericht hat festgestellt, dass der Beschwerdeführer während seiner Anstellung bei der Firma B.________ (19. August 2002 bis 31. März 2006) weder aus somatischen Gründen noch wegen der kombinierten Persönlichkeitsstörung arbeitsunfähig gewesen sei. Wohl habe diese psychische Beeinträchtigung bereits damals vorgelegen, sie habe sich jedoch nicht in relevanter Weise bemerkbar gemacht. Die Arbeitgeberfirma habe jedenfalls keinen Leistungsabfall festzustellen vermocht. Ebenso wenig seien längere krankheitsbedingte Abwesenheiten zu verzeichnen gewesen. Der Umstand allein, dass während des Vorsorgeverhältnisses ein Leiden vorgelegen habe, genüge nicht für eine Leistungspflicht der Stiftung.</w:t>
      </w:r>
    </w:p>
    <w:p>
      <w:r>
        <w:rPr>
          <w:b/>
        </w:rPr>
        <w:t>E. 4</w:t>
      </w:r>
    </w:p>
    <w:p>
      <w:r>
        <w:t>Die vorinstanzlichen Sachverhaltsfeststellungen sind für das Bundesgericht verbindlich (E. 1 hievor). Der daraus durch das kantonale Gericht gezogenen rechtlichen Schlussfolgerung, wonach eine Leistungspflicht der Beschwerdegegnerin entfalle, ist beizupflichten.</w:t>
      </w:r>
    </w:p>
    <w:p>
      <w:r>
        <w:t>Die Einwendungen in der Beschwerde ändern an dieser Betrachtungsweise nichts. So beantragt der Beschwerdeführer, es sei beim Psychiater Dr. C.________, dem Verfasser des von der IV-Stelle seinerzeit in Auftrag gegebenen psychiatrischen Gutachtens vom 11. August 2008, eine Stellungnahme zur Arbeitsfähigkeit während des Arbeitsverhältnisses mit der Firma B.________ einzuholen. Damit wird letztlich verlangt, gestützt auf eine heute abgegebene medizinisch-theoretische Einschätzung über die im Zeitraum vom 19. August 2002 bis 31. März 2006 (zuzüglich der einmonatigen Nachdeckungsfrist gemäss Art. 10 Abs. 3 BVG ) gegebene funktionelle Leistungsfähigkeit als Gärtner zu befinden. Und dies ungeachtet des Umstandes, dass seinerzeit bei der Ausübung des erlernten Berufes keine Leistungseinschränkung zu verzeichnen war. Mit Blick auf die in E. 2 angeführte Rechtsprechung bleibt hiefür kein Raum. Bei diesen Gegebenheiten muss auch der weiteren vom Beschwerdeführer aufgeworfenen Frage nicht näher nachgegangen werden, ob die Stiftung den Beginn der erforderlichen mindestens 20 %igen Arbeitsunfähigkeit - unabhängig von der Festlegung des Beginns der einjährigen Wartezeit durch die IV-Stelle - selber hätte abklären müssen. Die Vorsorgeeinrichtung hätte ebenfalls nur auf rückwirkend abgegebene medizinisch-theoretische Einschätzungen abstellen können, denen auf jeden Fall die fehlende Auswirkung im damaligen Arbeitsverhältnis entgegengestanden wäre.</w:t>
      </w:r>
    </w:p>
    <w:p>
      <w:r>
        <w:rPr>
          <w:b/>
        </w:rPr>
        <w:t>E. 5</w:t>
      </w:r>
    </w:p>
    <w:p>
      <w:r>
        <w:t>Dem Verfahrensausgang entsprechend sind die Gerichtskosten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