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9C_51/2010 vom 30. Juni 2010</w:t>
      </w:r>
    </w:p>
    <w:p>
      <w:r>
        <w:t>Bundesgericht, 2010-06-30, FR</w:t>
      </w:r>
    </w:p>
    <w:p>
      <w:r>
        <w:rPr>
          <w:b/>
        </w:rPr>
        <w:t xml:space="preserve">Quelle: </w:t>
      </w:r>
      <w:r>
        <w:t>https://mcp.opencaselaw.ch/entscheid/bger_9C_51_2010</w:t>
      </w:r>
    </w:p>
    <w:p>
      <w:r>
        <w:t>FR: TF 9C_51/2010 du 30 juin 2010</w:t>
      </w:r>
    </w:p>
    <w:p>
      <w:r>
        <w:t>IT: TF 9C_51/2010 del 30 giugno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L'objet du litige porte sur le droit de l'assurée à une rente de l'assurance-invalidité, singulièrement sur le degré d'invalidité qu'elle a présenté depuis le 1er juin 2007.</w:t>
      </w:r>
    </w:p>
    <w:p>
      <w:r>
        <w:rPr>
          <w:b/>
        </w:rPr>
        <w:t>E. 2.1</w:t>
      </w:r>
    </w:p>
    <w:p>
      <w:r>
        <w:t>La juridiction cantonale a considéré que le degré d'invalidité global présenté par l'assurée à compter de cette date donnait droit à un quart de rente d'invalidité. En effet, si l'assurée avait été en bonne santé, elle aurait consacré 50 % de son temps à l'exercice de son activité professionnelle et le reste à l'accomplissement de ses travaux habituels. D'après les renseignements médicaux versés au dossier, elle présentait une incapacité de travail de 60 % depuis le mois d'août 2007. Compte tenu également d'une entrave de 21,25 % dans l'accomplissement des travaux habituels, on parvenait à un taux d'invalidité global de 41 % ([0,5 x 60 %] + [0,5 x 21,25 %]).</w:t>
      </w:r>
    </w:p>
    <w:p>
      <w:r>
        <w:rPr>
          <w:b/>
        </w:rPr>
        <w:t>E. 2.2</w:t>
      </w:r>
    </w:p>
    <w:p>
      <w:r>
        <w:t>L'office recourant ne conteste ni le choix de la méthode mixte d'évaluation de l'invalidité, ni la répartition des champs d'activité entre activité lucrative et accomplissement des travaux habituels. De même ne remet-il pas en question l'évaluation des empêchements dans la part que l'assurée consacre à ses travaux habituels. Il reproche en revanche aux premiers juges d'avoir évalué de manière erronée l'invalidité pour la part consacrée à l'exercice d'une activité lucrative, en tant qu'ils n'auraient pas procédé à une comparaison des revenus afin de calculer la perte de gain effective de l'assurée. L'office recourant conteste également le moment à partir duquel l'assurée a disposé d'une capacité résiduelle de travail de 40 %. Les premiers juges se seraient en effet écartés sans raison des indications de l'expertise psychiatrique du 3 mars 2008 pour se fonder sur le rapport du 2 août 2007 établi par la doctoresse H.________.</w:t>
      </w:r>
    </w:p>
    <w:p>
      <w:r>
        <w:rPr>
          <w:b/>
        </w:rPr>
        <w:t>E. 3</w:t>
      </w:r>
    </w:p>
    <w:p>
      <w:r>
        <w:t>Lorsqu'il y a lieu d'appliquer la méthode mixte d'évaluation, l'invalidité des assurés pour la part qu'ils consacrent à leur activité lucrative doit être évaluée selon la méthode ordinaire de comparaison des revenus ( art. 28a al. 3 LAI en corrélation avec l' art. 16 LPGA ).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sans invalidité).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ATF 125 V 146 consid. 5c/bb p. 157) - est comparé au gain hypothétique qu'elle pourrait obtenir sur un marché équilibré du travail en mettant pleinement à profit sa capacité résiduelle dans un emploi adapté à son handicap ( ATF 125 V 146 consid. 5a p. 154).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9C_713/2007 du 8 août 2008 consid. 3.2).</w:t>
      </w:r>
    </w:p>
    <w:p>
      <w:r>
        <w:rPr>
          <w:b/>
        </w:rPr>
        <w:t>E. 4.1</w:t>
      </w:r>
    </w:p>
    <w:p>
      <w:r>
        <w:t>Les premiers juges ont violé le droit fédéral en ne procédant pas à une comparaison des revenus pour fixer le degré d'invalidité dans la part consacrée à l'exercice de l'activité lucrative. Contrairement à ce que laisse sous-entendre la juridiction cantonale, la jurisprudence ne permet pas d'assimiler simplement le degré d'incapacité de travail d'une personne assurée à son degré d'invalidité. Dans la mesure où il n'est pas contesté que l'assurée est en mesure de reprendre - certes avec une capacité de travail limitée - un emploi dans son ancien domaine d'activité, il est possible, dans le cas particulier, de procéder à une comparaison en pour cent pour évaluer la perte de gain et, partant, l'invalidité pour la part consacrée à l'exercice d'une activité lucrative (cf. ATF 114 V 310 consid. 3a p. 313 et les références). En effet, l'étendue de la perte de gain résultant de son incapacité de travail représente nécessairement un pourcentage entre le salaire qu'elle aurait touché (en travaillant à 50 %) si elle était demeurée en bonne santé et le salaire qu'elle est actuellement en mesure d'obtenir (en travaillant à 40 %). En l'espèce, il convient d'arrêter le degré d'invalidité pour la part que l'assurée consacre à l'exercice d'une activité lucrative à 20 % ([50-40] x 100 : 50). Le taux d'invalidité globale s'élève par voie de conséquent à 21 % ([0,5 x 20 %] + [0,5 x 21,25 %]), taux qui ne donne pas droit à une rente de l'assurance-invalidité.</w:t>
      </w:r>
    </w:p>
    <w:p>
      <w:r>
        <w:rPr>
          <w:b/>
        </w:rPr>
        <w:t>E. 4.2</w:t>
      </w:r>
    </w:p>
    <w:p>
      <w:r>
        <w:t>Pour fixer le moment à partir duquel l'assurée a disposé d'une capacité résiduelle de travail de 40 %, la juridiction cantonale s'est fondée sur le rapport médical du 2 août 2007 établi par la doctoresse H.________ et a retenu que l'amélioration de la capacité résiduelle de travail était survenue au mois d'août 2007. Elle a considéré que l'expertise réalisée par la doctoresse O.________ ne donnait pas d'explication sur les raisons pour lesquelles il convenait de retenir le mois de juin 2007. A l'appui de ses allégations, l'office recourant ne met en évidence aucun élément qui justifierait de revenir sur cette appréciation. Le fait que l'expertise de la doctoresse O.________ revête, d'un point de vue strictement formel, une valeur probante supérieure ne suffit aucunement à pallier l'absence d'explication de ce médecin quant à la date qu'elle a proposée. Il n'y a par conséquent pas lieu de s'écarter de la constatation de fait effectuée par la juridiction cantonale sur ce point.</w:t>
      </w:r>
    </w:p>
    <w:p>
      <w:r>
        <w:rPr>
          <w:b/>
        </w:rPr>
        <w:t>E. 5</w:t>
      </w:r>
    </w:p>
    <w:p>
      <w:r>
        <w:t>Sur le vu de ce qui précède, le recours doit être partiellement admis. Les frais judiciaires doivent être mis proportionnellement à la charge de l'office recourant et de l'intimée ( art. 66 al. 1 LTF ). L'intimée a droit à une indemnité de dépens réduite pour l'instance fédérale à la charge de l'office recourant ( art. 68 al. 1 LTF ). Elle a par ailleurs sollicité le bénéfice de l'assistance judiciaire pour l'instance fédérale. Les conditions d'octroi de l'assistance judiciaire gratuite étant réalisées ( art. 64 al. 1 et 2 LTF ), celle-ci lui est accordée, de sorte qu'elle sera dispensée de sa part des frais judiciaires et que les honoraires de son avocat seront pris en charge partiellement par la caisse du Tribunal fédéral. L'attention de l'intimée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