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9C_519/2023 vom 5. Oktober 2023</w:t>
      </w:r>
    </w:p>
    <w:p>
      <w:r>
        <w:t>Bundesgericht, 2023-10-05, FR</w:t>
      </w:r>
    </w:p>
    <w:p>
      <w:r>
        <w:rPr>
          <w:b/>
        </w:rPr>
        <w:t xml:space="preserve">Quelle: </w:t>
      </w:r>
      <w:r>
        <w:t>https://mcp.opencaselaw.ch/entscheid/bger_9C_519_2023</w:t>
      </w:r>
    </w:p>
    <w:p>
      <w:r>
        <w:t>FR: TF 9C_519/2023 du 5 octobre 2023</w:t>
      </w:r>
    </w:p>
    <w:p>
      <w:r>
        <w:t>IT: TF 9C_519/2023 del 5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9C_519/2023</w:t>
      </w:r>
    </w:p>
    <w:p>
      <w:r>
        <w:t>Arrêt du 5 octobre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 du 22 juin 2023 (A/790/2022 ATAS/469/2023).</w:t>
      </w:r>
    </w:p>
    <w:p>
      <w:r>
        <w:t>Vu :</w:t>
      </w:r>
    </w:p>
    <w:p>
      <w:r>
        <w:t>la décision du 9 février 2022, par laquelle l'Office de l'assurance-invalidité du canton de Genève a rejeté la demande de prestations présentée par A.________ en décembre 2016 du fait d'un défaut de collaboration de celui-ci,</w:t>
      </w:r>
    </w:p>
    <w:p>
      <w:r>
        <w:t>l'arrêt du 22 juin 2023, par lequel la Cour de justice de la République et canton de Genève, Chambre des assurances sociales, a rejeté le recours formé par l'assuré contre cette décision,</w:t>
      </w:r>
    </w:p>
    <w:p>
      <w:r>
        <w:t>le recours interjeté le 30 août 2023 (timbre postal) par A.________ contre cet arrêt et la requête d'assistance judiciaire (limitée aux frais de procédure) assortissant le recours,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l'espèce, l'écriture déposée le 30 août 2023 ne contient pas de conclusions, ou de conclusions suffisantes, le recourant se contentant en substance de rappeler le déroulement des faits et d'affirmer qu'il a été "maltraité" par des services administratifs,</w:t>
      </w:r>
    </w:p>
    <w:p>
      <w:r>
        <w:t>que, ce faisant, il ne démontre pas que et en quoi la juridiction cantonale aurait violé le droit fédéral au sens de l' art. 95 let. a LTF ou constaté les faits de façon manifestement inexacte (ou arbitraire, cf. ATF 134 V 53 consid. 4.3)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que la demande d'assistance judiciaire est dès lors sans objet,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5 octobre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