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9C_519/2011 vom 5. April 2012</w:t>
      </w:r>
    </w:p>
    <w:p>
      <w:r>
        <w:t>Bundesgericht, 2012-04-05, FR</w:t>
      </w:r>
    </w:p>
    <w:p>
      <w:r>
        <w:rPr>
          <w:b/>
        </w:rPr>
        <w:t xml:space="preserve">Quelle: </w:t>
      </w:r>
      <w:r>
        <w:t>https://mcp.opencaselaw.ch/entscheid/bger_9C_519_2011</w:t>
      </w:r>
    </w:p>
    <w:p>
      <w:r>
        <w:t>FR: TF 9C_519/2011 du 5 avril 2012</w:t>
      </w:r>
    </w:p>
    <w:p>
      <w:r>
        <w:t>IT: TF 9C_519/2011 del 5 aprile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de l' art. 42 al. 2 LTF , et ne peut aller au-delà des conclusions des parties ( art. 107 al. 1 LTF ). Il fonde son raisonnement sur les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En premier lieu, la recourante invoque une appréciation arbitraire des preuves et la violation du droit fédéral, singulièrement de l' art. 9 Cst.</w:t>
      </w:r>
    </w:p>
    <w:p>
      <w:r>
        <w:t>Ce grief, qui fait explicitement référence à l' art. 9 Cst. , doit, en tant qu'il porte sur la violation d'un droit fondamental, remplir les conditions d'allégation et de motivation plus restrictives de l' art. 106 al. 2 LTF ( ATF 134 II 193 consid. 1.5 p. 196 sv.; 133 III 393 consid. 6 p. 397). En l'espèce, l'argumentation de la recourante ne remplit manifestement pas les exigences prévues par cette disposition. La seule affirmation selon laquelle le "Tribunal cantonal valaisan a violé le droit en procédant à une appréciation arbitraire des preuves" est clairement insuffisante pour établir la violation du principe de l'interdiction de l'arbitraire, dès lors qu'il ne s'agit précisément que d'une affirmation dépourvue de motivation et ne reposant sur aucun fondement. Il n'y a donc pas lieu d'examiner ce premier motif.</w:t>
      </w:r>
    </w:p>
    <w:p>
      <w:r>
        <w:rPr>
          <w:b/>
        </w:rPr>
        <w:t>E. 3</w:t>
      </w:r>
    </w:p>
    <w:p>
      <w:r>
        <w:t>Comme en instance cantonale, la recourante soulève ensuite le grief de partialité à l'égard du docteur A.________. Elle fonde son argumentation sur deux motifs distincts: l'existence d'un lien économique et de subordination entre le docteur A.________ et l'intimé, ainsi que l'absence de distance nécessaire du psychiatre qui aurait été mise en évidence par le courrier personnel qu'il lui a adressé le 23 mars 2011.</w:t>
      </w:r>
    </w:p>
    <w:p>
      <w:r>
        <w:rPr>
          <w:b/>
        </w:rPr>
        <w:t>E. 3.1</w:t>
      </w:r>
    </w:p>
    <w:p>
      <w:r>
        <w:t>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p. 109 et l'arrêt cité).</w:t>
      </w:r>
    </w:p>
    <w:p>
      <w:r>
        <w:t>Selon la jurisprudence rendue en matière de récusation d'un juge, applicable par analogie à la récusation d'experts judiciaires ( ATF 134 V 93 consid. 7.1 p. 109), il est contraire à la bonne foi d'attendre l'issue d'une procédure pour tirer ensuite argument, à l'occasion d'un recours, du motif de récusation, alors que celui-ci était déjà connu auparavant ( ATF 132 II 485 consid. 4.3 p. 496; consid. 1b non publié de l' ATF 126 V 303 , mais dans SVR 2001 BVG 7 p. 28 et les arrêts cités; JACQUES OLIVIER PIGUET, Le choix de l'expert et sa récusation: le cas particulier des assurances sociales, HAVE 2011, p. 135).</w:t>
      </w:r>
    </w:p>
    <w:p>
      <w:r>
        <w:rPr>
          <w:b/>
        </w:rPr>
        <w:t>E. 3.2</w:t>
      </w:r>
    </w:p>
    <w:p>
      <w:r>
        <w:t>Le premier motif invoqué par la recourante à l'encontre de l'expert est mal fondé. Dès lors que le docteur A.________ a été commis par la juridiction cantonale pour établir une expertise judiciaire, on ne voit pas qu'il se soit trouvé en l'espèce dans un "lien de subordination" avec l'office AI, puisque son mandataire était le Tribunal cantonal valaisan. Par ailleurs, sous l'angle du lien de dépendance économique invoqué par la recourante - en raison du chiffre d'affaires important que réaliserait le psychiatre dans le cadre de mandats que lui confierait l'office AI -, il est de jurisprudence constante que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p. 226 et les arrêts cités). Aussi, est-ce à juste titre que la juridiction cantonale n'a pas donné suite à la requête de renseignements sur le nombre de mandats d'expertise psychiatrique confiés par l'office AI au docteur A.________ et sur le montant de la rémunération en résultant, ces éléments ne constituant pas une preuve pertinente pour établir les faits relatifs à la récusation.</w:t>
      </w:r>
    </w:p>
    <w:p>
      <w:r>
        <w:t>Au demeurant, le prétendu lien économique constituait une circonstance que la recourante aurait pu et dû alléguer bien avant sa détermination du 15 mars 2011, dans laquelle elle a fait valoir pour la première fois des motifs de partialité, une fois l'expertise rendue et son résultat connu. Contrairement à ce qu'elle prétend dans son écriture du 26 septembre 2011, il s'agissait d'un élément qui n'est pas apparu seulement après l'attribution du mandat d'expertise. Or, la recourante n'a émis aucune réserve à cet égard au moment où elle a été appelée à faire valoir d'éventuels motifs de récusation (ordonnance du Tribunal cantonal du 14 juillet 2010) et ne s'est pas opposée à l'expertise du docteur A.________ (courrier du 6 septembre 2010). Le motif invoqué, eût-il été pertinent, n'aurait par conséquent pas pu être pris en considération sous l'angle de la bonne foi (consid. 3.1 in fine supra).</w:t>
      </w:r>
    </w:p>
    <w:p>
      <w:r>
        <w:rPr>
          <w:b/>
        </w:rPr>
        <w:t>E. 3.3</w:t>
      </w:r>
    </w:p>
    <w:p>
      <w:r>
        <w:t>En ce qui concerne le second motif de partialité, la recourante soutient que le fait que le docteur A.________ lui a adressé le courrier du 23 mars 2011, alors que le mandat d'expertise était en cours et qu'il a déposé une détermination complémentaire (datée du même jour), montre que le médecin est devenu un "tiers intervenant" et ne dispose plus de la distance nécessaire pour que son rapport d'expertise puisse "être validé".</w:t>
      </w:r>
    </w:p>
    <w:p>
      <w:r>
        <w:t>En l'occurrence, le fait que l'expert s'est adressé directement par écrit à la recourante le 23 mars 2011, en mettant en cause l'attitude de celle-ci en mars 2011 et les propos qu'elle avait tenus à son sujet, pour l'avertir d'éventuelles mesures auprès des autorités judiciaires met objectivement en doute l'impartialité de l'expert à partir de ce moment-là. En effet, la démarche du docteur A.________ met en évidence des tensions personnelles entre lui et la recourante dont on pouvait penser qu'elles l'empêchaient de garder une nécessaire distance et étaient susceptibles d'exercer une influence négative sur le point de vue de l'expert. Toutefois, comme l'a retenu à juste titre la juridiction cantonale, les circonstances en cause ne sont pas susceptibles de rendre vraisemblable une apparence de prévention du docteur A.________ au moment où il a mené les entretiens d'expertise avec la recourante en automne 2010 et rédigé son rapport rendu le 24 novembre 2010. Son courrier du 23 mars 2011 constitue en effet une réaction aux déclarations exprimées par celle-ci à la suite de la reddition du rapport d'expertise (et rapportées indirectement par le docteur E.________ dans son avis du 10 mars 2011). Les tensions qui en ont apparemment résulté à la fin du mois de mars 2011 pouvaient donc tout au plus justifier la récusation de l'expert pour apparence de prévention à partir de ce moment-là. Elles ne permettent en revanche pas de douter de l'impartialité du docteur A.________ au moment de se prononcer sur la situation de la recourante dans son expertise du 24 novembre 2010. Cette pièce médicale n'a dès lors pas à être écartée de la procédure (ni, partant, remplacée par une nouvelle expertise judiciaire à mettre en oeuvre).</w:t>
      </w:r>
    </w:p>
    <w:p>
      <w:r>
        <w:rPr>
          <w:b/>
        </w:rPr>
        <w:t>E. 3.4</w:t>
      </w:r>
    </w:p>
    <w:p>
      <w:r>
        <w:t>En conséquence de ce qui précède, les conclusions de la recourante tendant à ce que l'expertise du docteur A.________ du 24 novembre 2010 soit écartée du dossier sont mal fondées. Dans la mesure où elles porteraient également sur la détermination de l'expert du 23 mars 2011 - ce qui ne ressort pas clairement de l'écriture de recours -, il y aurait lieu de constater que le complément d'expertise rédigé à la même date que le courrier à la recourante ne pourrait être pris en considération, compte tenu des doutes, à ce moment-là, sur l'impartialité de son auteur.</w:t>
      </w:r>
    </w:p>
    <w:p>
      <w:r>
        <w:t>Une telle constatation ne modifierait cependant en rien l'issue du litige. Les premiers juges ont en effet suivi les conclusions de l'expertise judiciaire du 24 novembre 2010 pour retenir qu'il était exigible de la recourante qu'elle fît l'effort de surmonter ses symptômes douloureux pour reprendre une activité lucrative, en constatant qu'elles n'étaient pas remises en cause par les médecins qui s'étaient exprimés postérieurement sur l'état de santé de la recourante (et dont les rapports avaient été produits par la recourante le 15 mars 2011). Cette appréciation des preuves n'est pas critiquée par la recourante, ou du moins pas à satisfaction de droit (supra consid. 2), et lie le Tribunal fédéral (supra consid. 1). Le recours se révèle donc mal fondé.</w:t>
      </w:r>
    </w:p>
    <w:p>
      <w:r>
        <w:rPr>
          <w:b/>
        </w:rPr>
        <w:t>E. 4</w:t>
      </w:r>
    </w:p>
    <w:p>
      <w:r>
        <w:t>Vu l'issue du litige, les frais de justice sont en principe à la charge de la recourante, qui ne peut prétendre de dépens (art. 66 al. 1 et 68 al. 1 LTF). Il convient toutefois d'accepter sa demande d'assistance judiciaire, dès lors qu'elle en réalise les conditions (cf. art. 64 al. 1 et 2 LTF ). La recourante est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