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9C_519/2009 vom 25. August 2009</w:t>
      </w:r>
    </w:p>
    <w:p>
      <w:r>
        <w:t>Bundesgericht, 2009-08-25, DE</w:t>
      </w:r>
    </w:p>
    <w:p>
      <w:r>
        <w:rPr>
          <w:b/>
        </w:rPr>
        <w:t xml:space="preserve">Quelle: </w:t>
      </w:r>
      <w:r>
        <w:t>https://mcp.opencaselaw.ch/entscheid/bger_9C_519_2009</w:t>
      </w:r>
    </w:p>
    <w:p>
      <w:r>
        <w:t>FR: TF 9C_519/2009 du 25 août 2009</w:t>
      </w:r>
    </w:p>
    <w:p>
      <w:r>
        <w:t>IT: TF 9C_519/2009 del 25 agosto 2009</w:t>
      </w:r>
    </w:p>
    <w:p>
      <w:pPr>
        <w:pStyle w:val="Heading2"/>
      </w:pPr>
      <w:r>
        <w:t>Erwägungen</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wozu auch die unvollständige Tatsachenermittlung zählt.</w:t>
      </w:r>
    </w:p>
    <w:p>
      <w:r>
        <w:rPr>
          <w:b/>
        </w:rPr>
        <w:t>E. 1.2</w:t>
      </w:r>
    </w:p>
    <w:p>
      <w:r>
        <w:t>Soweit der Beschwerdeführer seine Eingabe als subsidiäre Verfassungsbeschwerde bezeichnet und auch verstanden haben will, ist darauf nicht einzutreten. Denn dieses Rechtsmittel ist gemäss Art. 113 BGG nur zulässig, soweit keine Beschwerdemöglichkeit nach den Artikeln 72-89 BGG gegeben ist. Da im vorliegenden Fall die Beschwerde in öffentlich-rechtlichen Angelegenheiten gemäss Art. 82 ff. BGG zulässig ist (vgl. E. 1.1. hievor), ist auf eine subsidiäre Verfassungsbeschwerde nicht einzutreten.</w:t>
      </w:r>
    </w:p>
    <w:p>
      <w:r>
        <w:rPr>
          <w:b/>
        </w:rPr>
        <w:t>E. 1.3</w:t>
      </w:r>
    </w:p>
    <w:p>
      <w:r>
        <w:t>Feststellungen der Vorinstanz hinsichtlich des Grades der Arbeitsunfähigkeit betreffen Tatfragen, soweit sie auf der Würdigung konkreter Umstände beruhen, und sind daher lediglich unter eingeschränktem Blickwinkel überprüfbar ( BGE 132 V 393 E. 3.2 S. 397 f.). Bei der Bestimmung der für die Bemessung des Invaliditätsgrades massgebenden hypothetischen Einkommen ist als Rechtsfrage frei überprüfbar, ob sie auf der Grundlage statistischer Durchschnittslöhne zu ermitteln sind, und welches die massgebliche Tabelle ist (vgl. BGE 132 V 393 E. 3.3 S. 399). Frei überprüfbare Rechtsfrage ist auch die getroffene Wahl der massgeblichen Stufe (Anforderungsniveau 1+2, 3 oder 4) beim statistischen Lohnvergleich auf der Grundlage der Lohnstrukturerhebung des Bundesamtes für Statistik (LSE) (SVR 2008 IV Nr. 4 S. 9 [Urteil I 732/06 vom 2. Mai 2007, E. 4.2.2]). Die Frage, ob ein leidensbedingter Abzug nach Massgabe der Grundsätze von BGE 126 V 75 vorzunehmen sei, ist rechtlicher Natur, die Bestimmung eines solchen Abzuges dagegen Ermessensfrage, die im Gegensatz zum früheren Recht (vgl. Art. 104 lit. c OG ) nicht zu prüfen ist ( Art. 95 und 97 BGG ). Gerügt werden kann die Höhe des Abzuges nur im Hinblick auf Ermessensüberschreitung oder -missbrauch als Formen rechtsfehlerhafter ( Art. 95 lit. a BGG ) Ermessensbetätigung ( BGE 132 V 393 E. 3.3 S. 399).</w:t>
      </w:r>
    </w:p>
    <w:p>
      <w:r>
        <w:rPr>
          <w:b/>
        </w:rPr>
        <w:t>E. 2</w:t>
      </w:r>
    </w:p>
    <w:p>
      <w:r>
        <w:t>Das kantonale Gericht hat die für die Beurteilung des streitigen Leistungsanspruches einschlägigen rechtlichen Grundlagen zutreffend dargelegt.</w:t>
      </w:r>
    </w:p>
    <w:p>
      <w:r>
        <w:rPr>
          <w:b/>
        </w:rPr>
        <w:t>E. 3</w:t>
      </w:r>
    </w:p>
    <w:p>
      <w:r>
        <w:t>Bei den beschwerdeführerischen Vorbringen handelt es sich entgegen ihrer Bezeichnung nicht um rechtliche Rügen, sondern um Tatsachenbehauptungen im Zusammenhang mit der zumutbaren Arbeitsfähigkeit, welche letztinstanzlicher Überprüfung weitgehend entzogen sind (oben E. 1.3). Was der Beschwerdeführer vorbringen lässt, ist nicht geeignet, die vorinstanzliche Sachverhaltsfeststellung als offensichtlich unrichtig oder unvollständig erscheinen zu lassen; das kantonale Gericht hat die Beweise umfassend und pflichtgemäss gewürdigt, sich einlässlich und ausführlich mit den Berichten der behandelnden Ärzte und der Gutachter auseinandergesetzt und sie rechtsprechungskonform gewürdigt (kantonaler Entscheid E. II.1-3). Darauf wird verwiesen. Es bleibt lediglich festzuhalten, dass Vorinstanz, Verwaltung und Experten dem Beschwerdeführer nicht eine Erwerbsunfähigkeit von 20 % attestiert haben, sondern eine Arbeitsunfähigkeit von 20 %. Die festgestellte Erwerbsunfähigkeit (= Invaliditätsgrad) beträgt 28 %. Zudem war hier entgegen der in der Beschwerde wiederholt aufgestellten Behauptung nicht die Rede davon, beim Beschwerdeführer bestehe für körperlich schwere Tätigkeiten unter gewissen Rahmenbedingungen eine 80%ige Arbeitsfähigkeit. Hingegen sollen ihm leichte bis mittelschwere Beschäftigungen unter einschränkenden Voraussetzungen weiterhin zumutbar sein (MEDAS-Gutachten S. 11: "Aufgrund des chronischen Schmerzsyndroms entfallen körperlich stark belastende Arbeiten. Für körperlich leichtere bis mittelschwere Tätigkeiten [ohne ...] schätzen wir die Einschränkung der Arbeitsfähigkeit unter Berücksichtigung der somatischen und psychischen Faktoren auf 20 %").</w:t>
      </w:r>
    </w:p>
    <w:p>
      <w:r>
        <w:rPr>
          <w:b/>
        </w:rPr>
        <w:t>E. 4</w:t>
      </w:r>
    </w:p>
    <w:p>
      <w:r>
        <w:t>Was die vom Beschwerdeführer geforderte Erhöhung des leidensbedingten Abzuges auf 25 % betrifft, ist oben dargelegt (E. 1.3), dass die Bestimmung dieses Abzugs eine letztinstanzlich nicht zu prüfende Ermessensfrage ist: Die Höhe kann nur im Hinblick auf Ermessensüberschreitung oder -missbrauch als Formen rechtsfehlerhafter Ermessensbetätigung gerügt werden. Solches wird hier nicht geltend gemacht und liegt auch nicht vor.</w:t>
      </w:r>
    </w:p>
    <w:p>
      <w:r>
        <w:rPr>
          <w:b/>
        </w:rPr>
        <w:t>E. 5</w:t>
      </w:r>
    </w:p>
    <w:p>
      <w:r>
        <w:t>Soweit der Beschwerdeführer schliesslich in unsubstanziierter Weise eine Verletzung von Art. 9 BV (Schutz vor Willkür) geltend macht, ist darauf infolge offensichtlich fehlender Begründung ( Art. 106 Abs. 2 BGG ) nicht einzutreten.</w:t>
      </w:r>
    </w:p>
    <w:p>
      <w:r>
        <w:rPr>
          <w:b/>
        </w:rPr>
        <w:t>E. 6</w:t>
      </w:r>
    </w:p>
    <w:p>
      <w:r>
        <w:t>Die Beschwerde hatte keine Aussicht auf Erfolg, weshalb sie im vereinfachten Verfahren nach Art. 109 BGG , soweit zulässig, als offensichtlich unbegründet (Abs. 2 lit. a), ohne Durchführung des Schriftenwechsels, mit summarischer Begründung und unter Verweis auf den vorinstanzlichen Entscheid erledigt wird.</w:t>
      </w:r>
    </w:p>
    <w:p>
      <w:r>
        <w:rPr>
          <w:b/>
        </w:rPr>
        <w:t>E. 7</w:t>
      </w:r>
    </w:p>
    <w:p>
      <w:r>
        <w:t>Der unterliegende Beschwerdeführer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