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9C_518/2023 vom 31. Oktober 2023</w:t>
      </w:r>
    </w:p>
    <w:p>
      <w:r>
        <w:t>Bundesgericht, 2023-10-31, FR</w:t>
      </w:r>
    </w:p>
    <w:p>
      <w:r>
        <w:rPr>
          <w:b/>
        </w:rPr>
        <w:t xml:space="preserve">Quelle: </w:t>
      </w:r>
      <w:r>
        <w:t>https://mcp.opencaselaw.ch/entscheid/bger_9C_518_2023</w:t>
      </w:r>
    </w:p>
    <w:p>
      <w:r>
        <w:t>FR: TF 9C_518/2023 du 31 octobre 2023</w:t>
      </w:r>
    </w:p>
    <w:p>
      <w:r>
        <w:t>IT: TF 9C_518/2023 del 31 ottobre 2023</w:t>
      </w:r>
    </w:p>
    <w:p>
      <w:pPr>
        <w:pStyle w:val="Heading2"/>
      </w:pPr>
      <w:r>
        <w:t>Volltext</w:t>
      </w:r>
    </w:p>
    <w:p>
      <w:r>
        <w:t>Bundesgericht</w:t>
      </w:r>
    </w:p>
    <w:p>
      <w:r>
        <w:t>Tribunal fédéral</w:t>
      </w:r>
    </w:p>
    <w:p>
      <w:r>
        <w:t>Tribunale federale</w:t>
      </w:r>
    </w:p>
    <w:p>
      <w:r>
        <w:t>Tribunal federal</w:t>
      </w:r>
    </w:p>
    <w:p>
      <w:r>
        <w:t>9C_518/2023</w:t>
      </w:r>
    </w:p>
    <w:p>
      <w:r>
        <w:t>Arrêt du 31 octobre 2023</w:t>
      </w:r>
    </w:p>
    <w:p>
      <w:r>
        <w:t>IIIe Cour de droit public</w:t>
      </w:r>
    </w:p>
    <w:p>
      <w:r>
        <w:t>Composition</w:t>
      </w:r>
    </w:p>
    <w:p>
      <w:r>
        <w:t>M. le Juge fédéral Parrino, Président.</w:t>
      </w:r>
    </w:p>
    <w:p>
      <w:r>
        <w:t>Greffier : M. Bleicker.</w:t>
      </w:r>
    </w:p>
    <w:p>
      <w:r>
        <w:t>Participants à la procédure</w:t>
      </w:r>
    </w:p>
    <w:p>
      <w:r>
        <w:t>A.________,</w:t>
      </w:r>
    </w:p>
    <w:p>
      <w:r>
        <w:t>recourant,</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l'arrêt du Tribunal administratif fédéral du 10 août 2023 (C-3698/2023).</w:t>
      </w:r>
    </w:p>
    <w:p>
      <w:r>
        <w:t>Vu :</w:t>
      </w:r>
    </w:p>
    <w:p>
      <w:r>
        <w:t>l'arrêt du 10 août 2023, par lequel le Tribunal administratif fédéral n'est pas entré en matière sur "les courriels" de A.________ des 12 et 28 juin 2023,</w:t>
      </w:r>
    </w:p>
    <w:p>
      <w:r>
        <w:t>le recours du 25 août 2023 formé par l'intéressé contre cet arrêt,</w:t>
      </w:r>
    </w:p>
    <w:p>
      <w:r>
        <w:t>l'ordonnance du Tribunal fédéral du 4 septembre 2023, par laquelle l'intéressé a été rendu attentif au fait que son écriture ne semblait pas réaliser les conditions de recevabilité prévues par l' art. 42 LTF et qu'il pouvait remédier aux irrégularités (motifs et conclusions) jusqu'à l'échéance du délai de recours,</w:t>
      </w:r>
    </w:p>
    <w:p>
      <w:r>
        <w:t>considérant :</w:t>
      </w:r>
    </w:p>
    <w:p>
      <w:r>
        <w:t>que selon l' art. 108 al. 1 let. b LTF , le président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lorsque l'autorité précédente n'entre pas en matière sur le recours, sans même en traiter matériellement de manière subsidiaire, seule la question de l'irrecevabilité peut être portée devant le Tribunal fédéral ( ATF 144 II 184 consid. 1.1),</w:t>
      </w:r>
    </w:p>
    <w:p>
      <w:r>
        <w:t>qu'en l'espèce, le recourant ne s'en prend pas aux considérations de l'autorité précédente et se borne à indiquer qu'il ne savait pas qu'il ne pouvait pas adresser valablement un recours par courrier électronique,</w:t>
      </w:r>
    </w:p>
    <w:p>
      <w:r>
        <w:t>que ce faisant, il n'expose pas, fût-ce brièvement, en quoi la juridiction précédente aurait violé le droit en déclarant son recours irrecevable,</w:t>
      </w:r>
    </w:p>
    <w:p>
      <w:r>
        <w:t>que le présent recours, considéré comme un recours en matière de droit public, ne répond manifestement pas aux exigences de l' art. 42 al. 1 et 2 LTF ,</w:t>
      </w:r>
    </w:p>
    <w:p>
      <w:r>
        <w:t>qu'il doit par conséquent être déclaré irrecevable et traité selon la procédure simplifiée prévue à l' art. 108 al. 1 let. b LTF ,</w:t>
      </w:r>
    </w:p>
    <w:p>
      <w:r>
        <w:t>qu'il est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31 octobre 2023</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