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9C_518/2022 vom 12. Januar 2023</w:t>
      </w:r>
    </w:p>
    <w:p>
      <w:r>
        <w:t>Bundesgericht, 2023-01-12, FR</w:t>
      </w:r>
    </w:p>
    <w:p>
      <w:r>
        <w:rPr>
          <w:b/>
        </w:rPr>
        <w:t xml:space="preserve">Quelle: </w:t>
      </w:r>
      <w:r>
        <w:t>https://mcp.opencaselaw.ch/entscheid/bger_9C_518_2022</w:t>
      </w:r>
    </w:p>
    <w:p>
      <w:r>
        <w:t>FR: TF 9C_518/2022 du 12 janvier 2023</w:t>
      </w:r>
    </w:p>
    <w:p>
      <w:r>
        <w:t>IT: TF 9C_518/2022 del 12 gennaio 2023</w:t>
      </w:r>
    </w:p>
    <w:p>
      <w:pPr>
        <w:pStyle w:val="Heading2"/>
      </w:pPr>
      <w:r>
        <w:t>Volltext</w:t>
      </w:r>
    </w:p>
    <w:p>
      <w:r>
        <w:t>Bundesgericht</w:t>
      </w:r>
    </w:p>
    <w:p>
      <w:r>
        <w:t>Tribunal fédéral</w:t>
      </w:r>
    </w:p>
    <w:p>
      <w:r>
        <w:t>Tribunale federale</w:t>
      </w:r>
    </w:p>
    <w:p>
      <w:r>
        <w:t>Tribunal federal</w:t>
      </w:r>
    </w:p>
    <w:p>
      <w:r>
        <w:t>9C_518/2022</w:t>
      </w:r>
    </w:p>
    <w:p>
      <w:r>
        <w:t>Arrêt du 12 janvier 2023</w:t>
      </w:r>
    </w:p>
    <w:p>
      <w:r>
        <w:t>IIIe Cour de droit public</w:t>
      </w:r>
    </w:p>
    <w:p>
      <w:r>
        <w:t>Composition</w:t>
      </w:r>
    </w:p>
    <w:p>
      <w:r>
        <w:t>M. le Juge fédéral Parrino, Président.</w:t>
      </w:r>
    </w:p>
    <w:p>
      <w:r>
        <w:t>Greffier : M. Bürgisser.</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 (condition de recevabilité),</w:t>
      </w:r>
    </w:p>
    <w:p>
      <w:r>
        <w:t>recours contre l'arrêt de la Cour de justice de la République et canton de Genève du 17 octobre 2022 (A/2511/2022 ATAS/922/2022).</w:t>
      </w:r>
    </w:p>
    <w:p>
      <w:r>
        <w:t>Vu :</w:t>
      </w:r>
    </w:p>
    <w:p>
      <w:r>
        <w:t>la décision sur opposition du Service des prestations complémentaires de la République et canton de Genève (ci-après: SPC) du 29 juillet 2022, par laquelle il a déclaré tardive l'opposition du 11 juillet 2022 de l'assurée,</w:t>
      </w:r>
    </w:p>
    <w:p>
      <w:r>
        <w:t>l'arrêt du 17 octobre 2022 par lequel la Cour de justice de la République et canton de Genève, Chambre des assurances sociales, a rejeté le recours formé par l'assurée contre cette décision,</w:t>
      </w:r>
    </w:p>
    <w:p>
      <w:r>
        <w:t>le recours interjeté par A.________ du 8 novembre 2022 (timbre postal) contre cet arrêt,</w:t>
      </w:r>
    </w:p>
    <w:p>
      <w:r>
        <w:t>le courrier du 11 novembre 2022, par lequel le Tribunal fédéral a informé l'assurée qu'elle pouvait rectifier son écriture (absence de motivation et/ou de conclusion) avant l'échéance du délai de recours,</w:t>
      </w:r>
    </w:p>
    <w:p>
      <w:r>
        <w:t>l'absence de réaction de l'assurée à ce courrier,</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par arrêt du 17 octobre 2022, la juridiction cantonale a considéré que l'opposition formée le 11 juillet 2022 par l'assurée à l'encontre de la décision du SPC du 25 mai 2022 était tardive,</w:t>
      </w:r>
    </w:p>
    <w:p>
      <w:r>
        <w:t>que, dans son écriture déposée devant le Tribunal fédéral, l'assurée se contente d'énoncer de manière confuse divers problèmes - notamment financiers - auxquels elle doit faire face, ainsi que le montant de ses revenus,</w:t>
      </w:r>
    </w:p>
    <w:p>
      <w:r>
        <w:t>que selon la jurisprudence, un recours ne comportant que des arguments sur le fond alors qu'il porte sur un jugement d'irrecevabilité ne contient pas une motivation topique et ne constitue pas, dès lors, un recours valable (cf. ATF 123 V 335 ; 118 Ib 134 ),</w:t>
      </w:r>
    </w:p>
    <w:p>
      <w:r>
        <w:t>que, ce faisant, elle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12 janvier 2023</w:t>
      </w:r>
    </w:p>
    <w:p>
      <w:r>
        <w:t>Au nom de la IIIe Cour de droit public</w:t>
      </w:r>
    </w:p>
    <w:p>
      <w:r>
        <w:t>du Tribunal fédéral suisse</w:t>
      </w:r>
    </w:p>
    <w:p>
      <w:r>
        <w:t>Le Président : Parrino</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