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9C_518/2016 vom 31. Januar 2017</w:t>
      </w:r>
    </w:p>
    <w:p>
      <w:r>
        <w:t>Bundesgericht, 2017-01-31, DE</w:t>
      </w:r>
    </w:p>
    <w:p>
      <w:r>
        <w:rPr>
          <w:b/>
        </w:rPr>
        <w:t xml:space="preserve">Quelle: </w:t>
      </w:r>
      <w:r>
        <w:t>https://mcp.opencaselaw.ch/entscheid/bger_9C_518_2016</w:t>
      </w:r>
    </w:p>
    <w:p>
      <w:r>
        <w:t>FR: TF 9C_518/2016 du 31 janvier 2017</w:t>
      </w:r>
    </w:p>
    <w:p>
      <w:r>
        <w:t>IT: TF 9C_518/2016 del 31 gennaio 2017</w:t>
      </w:r>
    </w:p>
    <w:p>
      <w:pPr>
        <w:pStyle w:val="Heading2"/>
      </w:pPr>
      <w:r>
        <w:t>Erwägungen</w:t>
      </w:r>
    </w:p>
    <w:p>
      <w:r>
        <w:rPr>
          <w:b/>
        </w:rPr>
        <w:t>E. 1.1</w:t>
      </w:r>
    </w:p>
    <w:p>
      <w:r>
        <w:t>Aus der Begründung der Beschwerde ergibt sich, dass die Beschwerdeführerin die Aufhebung resp. Änderung des vorinstanzlichen Entscheids sinngemäss nur insoweit beantragt, als eine Rente ab 1. Mai 2014 verweigert und die Parteientschädigung reduziert worden ist. Gegen die Abweisung ihres Klagebegehrens Ziff. 2 bringt sie nichts vor.</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S. 17). Dieser Grundsatz findet auch in der weitergehenden Vorsorge Anwendung, wenn - wie hier - Reglement oder Statuten nichts anderes vorsehen ( BGE 136 V 65 E. 3.2 S. 69). Für die Bestimmung der Leistungszuständigkeit ist eine erhebliche und dauerhafte Einbusse an funktionellem Leistungsvermögen im bisherigen Beruf oder Aufgabenbereich massgebend. Diese muss mindestens 20 Prozent betragen (Urteil 9C_142/2016 vom 9. November 2016 E. 3.1 mit Hinweis).</w:t>
      </w:r>
    </w:p>
    <w:p>
      <w:r>
        <w:rPr>
          <w:b/>
        </w:rPr>
        <w:t>E. 2.2</w:t>
      </w:r>
    </w:p>
    <w:p>
      <w:r>
        <w:t>Ebenfalls korrekt führt die Vorinstanz aus, dass der Anspruch auf Invalidenleistungen einen engen sachlichen und zeitlichen Zusammenhang zwischen der während andauerndem Vorsorgeverhältnis (einschliesslich Nachdeckungsfrist nach Art. 10 Abs. 3 BVG ) bestandenen Arbeitsunfähigkeit und der allenfalls erst später eingetretenen Invalidität voraussetzt. Der sachliche Konnex ist gegeben, wenn der Gesundheitsschaden, welcher zur Arbeitsunfähigkeit geführt hat, im Wesentlichen derselbe ist, wie er der Erwerbsunfähigkeit zugrunde liegt ( BGE 134 V 20 E. 3.2 S. 22). 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Prozent [vgl. oben E. 2.1]) weniger als drei Monate gedauert hat. Eine drei Monate oder länger andauernde (annähernd) vollständige Arbeitsfähigkeit ist ein gewichtiges Indiz für eine Unterbrechung des zeitlichen Zusammenhangs, sofern sich eine dauerhafte Wiedererlangung der Erwerbsfähigkeit als objektiv wahrscheinlich darstellt ( BGE 134 V 20 E. 3.2.1 S. 22; Urteile 9C_142/2016 vom 9. November 2016 E. 3.2; 9C_197/2015 vom 26. Oktober 2015 E. 1.2 mit Hinweisen). Eine Reduktion des Arbeitspensums aus gesundheitlichen Gründen hingegen ist ein bedeutender Anhaltspunkt für das Vorliegen einer berufsvorsorgerechtlich relevanten Arbeitsunfähigkeit, auch wenn sie allein in der Regel nicht für den Nachweis einer funktionellen Leistungseinbusse genügt (Urteil 9C_419/2013 vom 9. Januar 2014 E. 2.3).</w:t>
      </w:r>
    </w:p>
    <w:p>
      <w:r>
        <w:rPr>
          <w:b/>
        </w:rPr>
        <w:t>E. 2.3</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f.). Diese Bindungswirkung findet ihre positivrechtliche Grundlage in den Art. 23, 24 Abs. 1 und Art. 26 Abs. 1 BVG , welche an die Regelung des IVG anknüpfen oder diese übernehmen. Die Orientierung an der Invalidenversicherung bezieht sich insbesondere auf die sachbezüglichen Voraussetzungen des Rentenanspruchs, die Rentenhöhe und den Rentenbeginn ( BGE 133 V 67 E. 4.3.2 S. 69). Wurde die Vorsorgeeinrichtung nicht in das Verfahren der Invalidenversicherung einbezogen und stellt sie dennoch auf die invalidenversicherungsrechtliche Betrachtungsweise ab, muss sich die versicherte Person diese (unter Vorbehalt der erwähnten offensichtlichen Unhaltbarkeit) entgegenhalten lassen ( BGE 130 V 270 E. 3.1 S. 273 mit Hinweisen; SVR 2014 BVG Nr. 3 S. 8, 9C_944/2012 E. 1.2).</w:t>
      </w:r>
    </w:p>
    <w:p>
      <w:r>
        <w:rPr>
          <w:b/>
        </w:rPr>
        <w:t>E. 3.1</w:t>
      </w:r>
    </w:p>
    <w:p>
      <w:r>
        <w:t>Die Vorinstanz hat festgestellt, es sei anzunehmen, dass Vorbescheid und Verfügungen betreffend eine Rente der Invalidenversicherung der Vorsorgeeinrichtung formgültig eröffnet worden seien. Folglich ist sie davon ausgegangen, dass grundsätzlich eine Bindung an die Feststellungen der IV-Stelle besteht. Diese Auffassung wird - obwohl die Vorsorgeeinrichtung nicht in der Verteilerliste der genannten Dokumente aufgeführt ist - von den Parteien nicht in Abrede gestellt; zudem beruft sich die Vorsorgeeinrichtung explizit auf die Verbindlichkeit der in den Verfügungen vom 2. und 10. Oktober 2014 getroffenen Feststellungen (vgl. E. 2.3 in fine).</w:t>
      </w:r>
    </w:p>
    <w:p>
      <w:r>
        <w:rPr>
          <w:b/>
        </w:rPr>
        <w:t>E. 3.2</w:t>
      </w:r>
    </w:p>
    <w:p>
      <w:r>
        <w:t>Weiter hat das kantonale Gericht (verbindlich; E. 1.2) festgestellt, die Versicherte habe ab dem 1. Februar 2010 während fast 6,5 Monaten in einem Vollzeitpensum gearbeitet, wobei der Lohn der Arbeitsleistung entsprochen habe und krankheitsbedingte Absenzen in diesem Zeitraum nicht aktenkundig seien. Die relevante Arbeitsunfähigkeit, die zur Invalidität geführt habe, sei (erst) ab dem 13. August 2010 rechtsgenüglich erstellt. Es hat erwogen, von den Feststellungen der IV-Stelle, welche den Eintritt der Arbeitsunfähigkeit auf den 13. September 2010 festgelegt hatte, sei (lediglich) in diesem Sinne abzuweichen. Folglich hat es die Leistungspflicht der Vorsorgeeinrichtung im Grundsatz bejaht und der Versicherten eine Invalidenrente aus beruflicher Vorsorge auf der Grundlage einer Arbeitsunfähigkeit von 50 % und eines Invaliditätsgrades von 60 % ab 1. August 2011 - nebst 5 % Verzugszins auf die nachzuzahlenden Rentenbetreffnisse ab Klageeinreichung - zugesprochen. Den Rentenanspruch hat es (in Anwendung von Art. 88a Abs. 1 IVV [SR 831.201]) bis zum 31. August 2012 befristet. Unter Verweis auf das Gutachten des Dr. med. C.________ vom 7. Juni 2012 hat es festgestellt, aufgrund einer gesundheitlichen Verbesserung habe ab Mai 2012 bis zur neuerlichen Verschlechterung am 18. Februar 2014 eine Arbeitsfähigkeit von 80 bis 85 % bestanden. Nachdem die Verbesserung "auf 80 %" während über 20 Monaten angehalten habe, falle infolge der Unterbrechung des zeitlichen Zusammenhangs die Leistungspflicht der Vorsorgeeinrichtung ab 1. September 2012 dahin.</w:t>
      </w:r>
    </w:p>
    <w:p>
      <w:r>
        <w:rPr>
          <w:b/>
        </w:rPr>
        <w:t>E. 3.3</w:t>
      </w:r>
    </w:p>
    <w:p>
      <w:r>
        <w:t>Die Beschwerdeführerin bringt vor, das Gutachten des Dr. med. C.________ sei nicht beweiskräftig, und die darin attestierte Verbesserung des Gesundheitszustandes habe nicht länger als rund 2,5 Monate angehalten, was sich aus dem Bericht des behandelnden Psychiaters vom 23. Juli 2012 ergebe. Dabei verkennt sie, dass sie sich die Feststellungen der IV-Stelle betreffend den Verlauf der Arbeitsunfähigkeit entgegenhalten lassen muss (E. 2.3 und 3.1) : Es ist nicht ersichtlich und wird auch nicht geltend gemacht, dass die in den massgeblichen Verfügungen enthaltene Feststellung, wonach sich der Gesundheitszustand und damit die Arbeitsfähigkeit ab Mai 2012 verbessert und (erst) ab dem 18. Februar 2014 wieder verschlechtert hätten, offensichtlich unhaltbar sein soll. Sie beruhte denn auch nicht ausschliesslich auf dem Gutachten des Dr. med. C.________ vom 7. Juni 2012, sondern auch auf der Expertise des Ärztlichen Begutachtungsinstitutes (ABI) vom 25. März 2014 und der Stellungnahme des Regionalen Ärztlichen Dienstes vom 26. Juni 2014. Dementsprechend legt die Beschwerdeführerin auch nicht (substanziiert) dar, dass der Rentenanspruch ununterbrochen bestanden haben oder vor dem 1. Mai 2014 wiederaufgelebt sein soll.</w:t>
      </w:r>
    </w:p>
    <w:p>
      <w:r>
        <w:rPr>
          <w:b/>
        </w:rPr>
        <w:t>E. 3.4</w:t>
      </w:r>
    </w:p>
    <w:p>
      <w:r>
        <w:t>Die Vorinstanz hat einen sachlichen Konnex zwischen der seit dem 13. August 2010 bestehenden Arbeitsunfähigkeit und der am 1. Mai 2014 (wieder) eingetretenen Invalidität bejaht. Fraglich und zu prüfen ist, ob sie den zeitlichen Zusammenhang zu Recht aufgrund der vorübergehend verbesserten Arbeitsfähigkeit als unterbrochen betrachtet hat.</w:t>
      </w:r>
    </w:p>
    <w:p>
      <w:r>
        <w:t>Im Gutachten des Dr. med. C.________ vom 7. Juni 2012 wurde eine erhebliche Arbeitsunfähigkeit von 15-20 % resp. 20 % ab Mai 2012 echtzeitlich bestätigt. Es steht fest, dass die Versicherte nach Beendigung des Arbeitsverhältnisses mit dem Verein B.________ höchstens in einem Pensum von 75 % tätig war. Damit trat die Leistungseinbusse auch arbeitsrechtlich sinnfällig in Erscheinung (vgl. Urteil 9C_419/2013 vom 9. Januar 2014 E. 2.2 und 2.3). Ob die Arbeitsunfähigkeit im hier interessierenden Zeitraum durchschnittlich (vgl. Urteil 9C_280/2010 vom 12. April 2011 E. 4.2, nicht publiziert in: BGE 137 V 71 , aber in: SVR 2011 IV Nr. 69 S. 207) 17,5 % (wie die Vorinstanz wohl festgestellt hat; vgl. E. 3.2) oder 20 % (wie die IV-Stelle festhielt) betrug, ist nicht von entscheidender Bedeutung. Art. 23 BVG und den von der Rechtsprechung dazu entwickelten Grundsätzen (E. 2) kommt insbesondere die Funktion zu, die Leistungspflicht einer oder mehrerer Vorsorgeeinrichtungen sachgerecht abzugrenzen ( BGE 130 V 270 E. 4.1 S. 275). Angesichts der Tatsache, dass die Abstufung von reduzierten Arbeitspensen in der Regel in Schritten von 5 Prozentpunkten (oder einem Vielfachen davon) erfolgt, konnte die Beschwerdeführerin aus gesundheitlichen Gründen im hier interessierenden Zeitraum faktisch ohnehin kein 80 % übersteigendes Pensum ausüben. Unter den konkret gegebenen Umständen kann nicht in dem Sinn von einer Unterbrechung des zeitlichen Zusammenhangs gesprochen werden, als während längerer Zeit eine (annähernd) vollständige resp. (deutlich) über 80 % liegende Arbeitsfähigkeit bestand. Für die am 1. Mai 2014 erneut eingetretene Invalidität hat demnach nicht jene Vorsorgeeinrichtung, bei der die Beschwerdeführerin (allenfalls) zu diesem Zeitpunkt versichert war, aufzukommen. Dafür bleibt die Beschwerdegegnerin (grundsätzlich) leistungspflichtig.</w:t>
      </w:r>
    </w:p>
    <w:p>
      <w:r>
        <w:rPr>
          <w:b/>
        </w:rPr>
        <w:t>E. 3.5</w:t>
      </w:r>
    </w:p>
    <w:p>
      <w:r>
        <w:t>Die Vorsorgeeinrichtung legt nicht dar, dass hinsichtlich der geltend gemachten Ansprüche auf eine Rente ab 1. Mai 2014 und auf entsprechenden Verzugszins von 5 % ab Klageeinreichung eine weitere Voraussetzung nicht erfüllt sein soll.</w:t>
      </w:r>
    </w:p>
    <w:p>
      <w:r>
        <w:rPr>
          <w:b/>
        </w:rPr>
        <w:t>E. 3.6</w:t>
      </w:r>
    </w:p>
    <w:p>
      <w:r>
        <w:t>Bei diesem Ergebnis (E. 3.4 und 3.5) und angesichts der weiteren Umstände, dass es bei der teilweisen Abweisung der Klage bleibt (E. 1.1) und die Regelung des Parteikostenersatzes dem kantonalen Recht unterliegt (vgl. Urteil 9C_162/2013 vom 8. August 2013 E. 4.3.1), wird die Vorinstanz die Parteientschädigung für das vorangegangene Verfahren neu zu verlegen haben.</w:t>
      </w:r>
    </w:p>
    <w:p>
      <w:r>
        <w:rPr>
          <w:b/>
        </w:rPr>
        <w:t>E. 4</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