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518/2007 vom 1. Oktober 2007</w:t>
      </w:r>
    </w:p>
    <w:p>
      <w:r>
        <w:t>Bundesgericht, 2007-10-01, DE</w:t>
      </w:r>
    </w:p>
    <w:p>
      <w:r>
        <w:rPr>
          <w:b/>
        </w:rPr>
        <w:t xml:space="preserve">Quelle: </w:t>
      </w:r>
      <w:r>
        <w:t>https://mcp.opencaselaw.ch/entscheid/bger_9C_518_2007</w:t>
      </w:r>
    </w:p>
    <w:p>
      <w:r>
        <w:t>FR: TF 9C 518/2007 du 1 octobre 2007</w:t>
      </w:r>
    </w:p>
    <w:p>
      <w:r>
        <w:t>IT: TF 9C 518/2007 del 1 ottobre 2007</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Mit dem kantonalen Verfahrensrecht hat sich das Bundesgericht grundsätzlich nicht zu befassen. Seine Überprüfungsbefugnis ist gemäss Art. 95 BGG , soweit hier interessierend, auf die Verletzung von Bundesrecht, Völkerrecht und (kantonalen) verfassungsmässigen Rechten beschränkt. Es hat daher nur zu prüfen, ob die Anwendung des einschlägigen kantonalen Verfahrensrechts oder - bei Fehlen solcher Vorschriften - die Ermessensausübung durch das kantonale Gericht von einem dieser Beschwerdegründe erfasst wird. Dabei fällt praktisch vor allem eine Prüfung der Verletzung verfassungsmässiger Rechte und Grundsätze in Betracht ( BGE 133 V 196 E. 1.1 S. 197 mit Hinweisen).</w:t>
      </w:r>
    </w:p>
    <w:p>
      <w:r>
        <w:rPr>
          <w:b/>
        </w:rPr>
        <w:t>E. 2.1</w:t>
      </w:r>
    </w:p>
    <w:p>
      <w:r>
        <w:t>Abweichend von Art. 61 lit. a ATSG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 Art. 69 Abs. 1bis IVG in der seit 1. Juli 2006 geltenden Fassung).</w:t>
      </w:r>
    </w:p>
    <w:p>
      <w:r>
        <w:rPr>
          <w:b/>
        </w:rPr>
        <w:t>E. 2.2</w:t>
      </w:r>
    </w:p>
    <w:p>
      <w:r>
        <w:t>Anders als der Kanton Waadt (vgl. BGE 133 V 402 E. 4.4 S. 408) hat der Kanton Uri die Befugnis zur Erhebung eines Kostenvorschusses und die verfahrensrechtlichen Folgen einer allfälligen Nichtbezahlung in einer hinreichenden gesetzlichen Grundlage vorgesehen ( BGE 132 I 157 E. 2.2 S. 159 f.), stellt doch eine kompetenzgemäss erlassene Landratsverordnung - anders als eine Regierungsratsverordnung - eine hinreichende gesetzliche Grundlage dar für die Erhebung von Kausalabgaben ( BGE 126 I 180 E. 2b/bb S. 184 f.). Nach Art. 9 Abs. 2 der Verordnung des Landrates zum Bundesgesetz über die Invalidenversicherung vom 13. November 1991 (RB 20.2431) richtet sich das Rechtsmittelverfahren gegen Verfügungen der IV-Stelle nach der Verordnung des Landrates über die Verwaltungsrechtspflege vom 23. März 1994 (VRPV; RB 2.2345), soweit das Bundesrecht nichts anderes bestimmt. Nach Art. 35 in Verbindung mit Art. 64 dieser Verordnung kann die Behörde von demjenigen, der eine Amtshandlung beantragt oder ein Verfahren einleitet, einen angemessenen Kostenvorschuss verlangen. Wird der verlangte Vorschuss trotz Androhung der Folgen innert der angesetzten Frist nicht geleistet, kann die Amtshandlung unterbleiben bzw. das Verfahren abgeschrieben werden. Überdies hat das Bundesgericht bereits in einem früheren Urteil festgehalten, dass die konstante Praxis der Vorinstanz, die fristgerechte Leistung des Kostenvorschusses als Sachentscheidsvoraussetzung zu betrachten, nicht willkürlich ist (Urteil der II. öffentlichrechtlichen Abteilung vom 18. Mai 1998 in Sachen A., 2P.416/1997).</w:t>
      </w:r>
    </w:p>
    <w:p>
      <w:r>
        <w:rPr>
          <w:b/>
        </w:rPr>
        <w:t>E. 3</w:t>
      </w:r>
    </w:p>
    <w:p>
      <w:r>
        <w:t>Das kantonale Gericht hat festgestellt, dass der Kostenvorschuss am 29. August 2006 und damit nach Ablauf der am 25. August 2006 geendeten Frist einbezahlt wurde. Der Beschwerdeführer bestreitet diesen Sachverhalt mit keinem Wort. Er legt auch nicht dar, inwiefern die dem Entscheid zu Grunde liegende Begründung im Einzelnen oder im Ergebnis bundesrechts- oder gar verfassungswidrig sein soll. Dass ein Grundrecht verletzt sei, wird nicht behauptet. Inwiefern das kantonale Gericht trotz verspäteter Leistung des Kostenvorschusses verpflichtet gewesen wäre, auf die Beschwerde einzutreten, legt er ebenfalls nicht dar. Er beruft sich weder auf ein Fristerstreckungsgesuch (Art. 30 VRPV) noch ein Gesuch um Wiederherstellung der Frist (Art. 31 VRPV). Was er gegen den kantonalen Entscheid vorbringt, erschöpft sich vielmehr in appellatorischer Kritik. Auf die Beschwerde ist mangels rechtsgenüglicher Begründung und wegen Verletzung der Rügepflicht (siehe E. 1.1) nicht einzutreten.</w:t>
      </w:r>
    </w:p>
    <w:p>
      <w:r>
        <w:rPr>
          <w:b/>
        </w:rPr>
        <w:t>E. 4.1</w:t>
      </w:r>
    </w:p>
    <w:p>
      <w:r>
        <w:t>Daran ändern die Behauptungen des Beschwerdeführers nichts, er habe die Aufforderung zum Kostenvorschuss infolge des wegen Auslandabwesenheit veranlassten Poststopps "in der dritten Dekade des Augusts" abgeholt und festgestellt, dass kein Einzahlungsschein mitgesandt worden sei, gleichentags das Gericht angerufen und nach einem Einzahlungsschein verlangt, welchen er aber erst am 29. August 2006 erhalten habe.</w:t>
      </w:r>
    </w:p>
    <w:p>
      <w:r>
        <w:rPr>
          <w:b/>
        </w:rPr>
        <w:t>E. 4.2</w:t>
      </w:r>
    </w:p>
    <w:p>
      <w:r>
        <w:t>Ob diese - im Übrigen durch keinerlei Beweismittel untermauerten - neuen Tatsachenbehauptungen im letztinstanzlichen Verfahren überhaupt vorgebracht werden dürfen (vgl. Art. 99 Abs. 1 BGG ), kann offen bleiben. Mit der vagen, unsubstantiierten Behauptung, er habe "in der dritten Dekade des Augusts" die abgestellte Post abgehoben, braucht sich das Bundesgericht nicht näher auseinanderzusetzen. Der Beschwerdeführer behauptet jedenfalls selbst nicht ausdrücklich, er habe das angebliche Fehlen des Einzahlungsscheins vor Fristablauf (25. August 2006) der Vorinstanz mitgeteilt und sie um Fristerstreckung nach Art. 30 Abs. 2 VRPV ersucht oder diese habe ihm eine falsche Auskunft erteilt. Nur in diesen Fällen könnte er allenfalls etwas zu seinen Gunsten ableiten. Abgesehen davon, legt er auch in diesem Zusammenhang nicht dar, inwiefern das kantonale Gericht Bundesrecht oder verfassungsmässige Rechte verletzt haben soll.</w:t>
      </w:r>
    </w:p>
    <w:p>
      <w:r>
        <w:rPr>
          <w:b/>
        </w:rPr>
        <w:t>E. 4.3</w:t>
      </w:r>
    </w:p>
    <w:p>
      <w:r>
        <w:t>Schliesslich kann der Beschwerdeführer aus dem Zurückbehaltungsauftrag - wie die Vorinstanz bereits richtig festgehalten hat - ohnehin nichts zu seinen Gunsten ableiten, gilt doch bei Vorliegen eines solchen eine eingeschriebene Sendung als am letzten Tag einer Frist von sieben Tagen ab Eingang bei der Poststelle am Ort des Empfängers als zugestellt ( BGE 123 III 492 E. 1 S. 494). Daran hat sich mit der Änderung der Rechtsgrundlagen bezüglich der Post nichts geändert (Urteil der I. Zivilabteilung des Bundesgerichts vom 5. November 2002 in Sachen G., 4P.188/2002).</w:t>
      </w:r>
    </w:p>
    <w:p>
      <w:r>
        <w:rPr>
          <w:b/>
        </w:rPr>
        <w:t>E. 5</w:t>
      </w:r>
    </w:p>
    <w:p>
      <w:r>
        <w:t>Dem Ausgang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