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9C_517/2019 vom 4. November 2019</w:t>
      </w:r>
    </w:p>
    <w:p>
      <w:r>
        <w:t>Bundesgericht, 2019-11-04, DE</w:t>
      </w:r>
    </w:p>
    <w:p>
      <w:r>
        <w:rPr>
          <w:b/>
        </w:rPr>
        <w:t xml:space="preserve">Quelle: </w:t>
      </w:r>
      <w:r>
        <w:t>https://mcp.opencaselaw.ch/entscheid/bger_9C_517_2019</w:t>
      </w:r>
    </w:p>
    <w:p>
      <w:r>
        <w:t>FR: TF 9C_517/2019 du 4 novembre 2019</w:t>
      </w:r>
    </w:p>
    <w:p>
      <w:r>
        <w:t>IT: TF 9C_517/2019 del 4 novembre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Das kantonale Gericht hat dem SMAB-Gutachten vom 10. Juli 2017 Beweiskraft beigemessen und gestützt darauf für angepasste Tätigkeiten eine Arbeitsfähigkeit von 70 % ab Mai 2013 festgestellt. Beim resultierenden Invaliditätsgrad von 31 % hat es (unter Anwendung von Art. 88a Abs. 1 IVV [SR 831.201]) einen Rentenanspruch ab dem 1. August 2013 verneint.</w:t>
      </w:r>
    </w:p>
    <w:p>
      <w:r>
        <w:rPr>
          <w:b/>
        </w:rPr>
        <w:t>E. 2.2</w:t>
      </w:r>
    </w:p>
    <w:p>
      <w:r>
        <w:t>Der Beschwerdeführer stellt einzig die Feststellung betreffend seine Arbeitsfähigkeit ab Mai 2013 resp. die Beweiskraft des psychiatrischen SMAB-Teilgutachtens in diesem Zusammenhang in Abrede.</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t>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3.3.1</w:t>
      </w:r>
    </w:p>
    <w:p>
      <w:r>
        <w:t>Der psychiatrische SMAB-Experte ging (mindestens) für das Jahr 2012 von einer aufgehobenen Arbeitsfähigkeit aus, weil der Versicherte in diesem Jahr drei Mal in einer psychiatrischen Klinik hospitalisiert gewesen war. Das kantonale Gericht hat überzeugend dargelegt, dass sowohl der SMAB-Experte als auch der behandelnde Psychiater Dr. med. B.________ (spätestens) ab dem Zeitpunkt, zu dem dem Versicherten die Anstellung als Badewache in Aussicht gestellt resp. zugesagt wurde (im April 2013), eine erhebliche Verbesserung des Gesundheitszustandes und der Arbeitsfähigkeit angenommen hatten. Zwar hatte Dr. med. B.________ in seinem Bericht vom 5. November 2013 "vorerst" nur ein Halbtagespensum empfohlen; indessen hat die Vorinstanz zutreffend erkannt, dass Dr. med. B.________ dabei weder Bezug auf die von ihm im Bericht vom 10. Januar 2013 für das Jahr 2012 attestierte durchschnittliche Arbeitsfähigkeit von 60 bis 65 % genommen noch den seither deutlich verbesserten Gesundheitszustand berücksichtigt hatte. Weiter beachtete das kantonale Gericht hinsichtlich der Arbeitsfähigkeitsschätzung zu Recht die beschränkte Beweiskraft der Berichte behandelnder Ärzte ( BGE 125 V 351 E. 3b/cc S. 353) und den Ermessensspielraum des medizinischen Experten ( BGE 137 V 210 E. 3.4.2.3 S. 253; Urteil 9C_397/2015 vom 6. August 2015 E. 5.3). Sodann enthält das psychiatrische Teilgutachten auch nachvollziehbare Ausführungen zu den Indikatoren gemäss BGE 141 V 281 (vgl. dazu auch E. 3.4). Soweit der Beschwerdeführer "starke Schwankungen" seines psychischen Zustandes behauptet, benennt er keine konkreten Hinweise auf eine deutliche und längere Zeit anhaltende (vgl. Art. 88a Abs. 2 IVV ) Verschlechterung seines Gesundheitszustandes seit dem Frühjahr 2013, und solche sind auch nicht ersichtlich.</w:t>
      </w:r>
    </w:p>
    <w:p>
      <w:r>
        <w:rPr>
          <w:b/>
        </w:rPr>
        <w:t>E. 3.3.2</w:t>
      </w:r>
    </w:p>
    <w:p>
      <w:r>
        <w:t>Das kantonale Gericht hat erkannt, dass der am 30. November 2016 aktenkundig gewordene Bericht der Hausärztin Dr. med. C.________, Fachärztin für Allgemeine Innere Medizin und Kardiologie, im SMAB-Gutachten vom 10. Juli 2017 nicht erwähnt wurde. Es hat in diesem Zusammenhang - nicht offensichtlich unrichtig (vgl. E. 1.2) - dargelegt, dass dieser Bericht keine konkreten Indizien enthalte, die gegen die Zuverlässigkeit der Expertise sprechen (vgl. BGE 125 V 351 E. 3b/bb S. 353). Der SMAB-Experte berücksichtigte denn auch die im Bericht der Dr. med. C.________ erwähnte und vom Versicherten gegenüber ihm und dem behandelnden Psychiater Dr. med. B.________ (Bericht vom 12. August 2016) angegebene Konzentrationsschwäche und Müdigkeit: Obwohl der Gutachter keine "depressive Symptomatik im engeren Sinne" feststellen konnte und den Versicherten für "aktuell nicht depressiv" befand, ging er von Residuen früherer depressiver Episoden resp. von einer unvollständig remittierten rezidivierenden depressiven Störung aus. Hinzu kommt, dass Dr. med. C.________ für psychiatrische Belange nicht fachärztlich qualifiziert ist, und dass auch in Bezug auf ihre Einschätzung dem Unterschied zwischen Behandlungs- und Begutachtungsauftrag Rechnung zu tragen ist ( BGE 125 V 351 E. 3b/cc S. 353; Urteil 9C_561/2018 vom 8. Februar 2019 E. 5.3.2.2).</w:t>
      </w:r>
    </w:p>
    <w:p>
      <w:r>
        <w:rPr>
          <w:b/>
        </w:rPr>
        <w:t>E. 3.3.3</w:t>
      </w:r>
    </w:p>
    <w:p>
      <w:r>
        <w:t>Der Beschwerdeführer bemängelt den Zeitaufwand für die psychiatrische Begutachtung. Dieser muss der Fragestellung und der zu beurteilenden Psychopathologie angemessen sein. Wie hoch er im Einzelfall zu veranschlagen ist, unterliegt letztlich der Fachkenntnis und dem Ermessensspielraum des damit befassten Experten. Massgebend ist in erster Linie, ob der Bericht inhaltlich vollständig und im Ergebnis schlüssig ist. Wichtigste Grundlage gutachterlicher Schlussfolgerungen bildet die klinische Untersuchung mit Anamneseerhebung, Symptomerfassung und Verhaltensbeobachtung (Urteil 8C_734/2016 vom 12. Juli 2017 E. 3.8). Konkrete Anhaltspunkte dafür, dass der psychiatrische SMAB-Experte diese Vorgaben nicht oder nur ungenügend beachtet haben soll, legt der Beschwerdeführer nicht dar und sind auch nicht erkennbar.</w:t>
      </w:r>
    </w:p>
    <w:p>
      <w:r>
        <w:rPr>
          <w:b/>
        </w:rPr>
        <w:t>E. 3.4</w:t>
      </w:r>
    </w:p>
    <w:p>
      <w:r>
        <w:t>Nach dem Gesagten genügt das psychiatrische Teilgutachten des SMAB zumindest in Bezug auf den medizinischen Sachverhalt den Anforderungen an die Beweiskraft. Mit Blick auf die Einschätzung der Arbeitsfähigkeit ab 2013 fällt indessen auf, dass sich weder dem SMAB-Gutachten noch den übrigen medizinischen Unterlagen objektive diagnoserelevante Befunde entnehmen lassen, dass die psychiatrische Behandlung von eher geringer Intensität war (aktenkundig sind acht Konsultationen bei Dr. med. B.________ zwischen Januar und 5. November 2013 und sechs Konsultationen zwischen Januar 2015 und 12. August 2016), dass der Experte ein intaktes soziales Umfeld feststellte und dass der Versicherte von vielseitigen Freizeitaktivitäten berichtete. Angesichts dieser Umstände ist fraglich, ob überhaupt eine rechtlich relevante Arbeitsunfähigkeit im Sinne von BGE 141 V 281 (vgl. E. 3.1 und 3.2) vorlag resp. vorliegt. Wie es sich damit verhält, kann aber offenbleiben.</w:t>
      </w:r>
    </w:p>
    <w:p>
      <w:r>
        <w:rPr>
          <w:b/>
        </w:rPr>
        <w:t>E. 3.5</w:t>
      </w:r>
    </w:p>
    <w:p>
      <w:r>
        <w:t>Die vorinstanzliche Beweiswürdigung und die Feststellung einer Restarbeitsfähigkeit von (mindestens; vgl. E. 3.4) 70 % beruhen demnach nicht auf einer Rechtsverletzung. Sie sind auch nicht offensichtlich unrichtig (vgl. E. 1.2), zumal die reduzierte Arbeitstätigkeit des Versicherten ab Sommer 2013 gemäss dessen Angaben gegenüber dem Eingliederungsberater (vgl. Abschlussbericht Integration vom 25. Juni 2013) auf invaliditätsfremde Gründe zurückzuführen war. Sie bleiben somit für das Bundesgericht verbindlich (E. 1.1). Ohnehin beschränkt sich der Beschwerdeführer auf weiten Strecken darauf, die medizinischen Unterlagen abweichend von der Vorinstanz zu würdigen und daraus andere Schlüsse zu ziehen, was nicht genügt (Urteile 9C_494/2016 vom 19. Dezember 2016 E. 3.5; 9C_794/2012 vom 4. März 2013 E. 4.1; 9C_65/2012 vom 28. Februar 2012 E. 4.3 mit Hinweisen).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