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517/2016 vom 7. März 2017</w:t>
      </w:r>
    </w:p>
    <w:p>
      <w:r>
        <w:t>Bundesgericht, 2017-03-07, FR</w:t>
      </w:r>
    </w:p>
    <w:p>
      <w:r>
        <w:rPr>
          <w:b/>
        </w:rPr>
        <w:t xml:space="preserve">Quelle: </w:t>
      </w:r>
      <w:r>
        <w:t>https://mcp.opencaselaw.ch/entscheid/bger_9C_517_2016</w:t>
      </w:r>
    </w:p>
    <w:p>
      <w:r>
        <w:t>FR: TF 9C 517/2016 du 7 mars 2017</w:t>
      </w:r>
    </w:p>
    <w:p>
      <w:r>
        <w:t>IT: TF 9C 517/2016 del 7 marzo 2017</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Le litige porte sur la suppression, par la voie de la révision, de la rente entière d'invalidité octroyée par l'office intimé au recourant par décision du 16 septembre 1997 ainsi que sur l'octroi de mesures d'ordre professionnel. Le jugement entrepris expose de manière complète les dispositions légales et les principes jurisprudentiels applicables. Il suffit d'y renvoyer.</w:t>
      </w:r>
    </w:p>
    <w:p>
      <w:r>
        <w:rPr>
          <w:b/>
        </w:rPr>
        <w:t>E. 3</w:t>
      </w:r>
    </w:p>
    <w:p>
      <w:r>
        <w:t>La juridiction cantonale a nié le droit de l'assuré à une rente d'invalidité à partir du 19 février 2013. Elle a considéré que selon tous les médecins, les troubles du sommeil étaient liés à la problématique somatoforme douloureuse, à savoir une fibromyalgie. Selon elle, dans la mesure où la fibromyalgie n'était pas invalidante, comme l'avait déjà retenu deux instances judiciaires, la somnolence diurne liée au trouble somatoforme douloureux ne l'était pas non plus. Elle a également nié le droit du recourant à des mesures d'ordre professionnel, au motif que le taux d'invalidité que présentait ce dernier était inférieur aux 20 % exigés pour l'ouverture du droit à ces mesures.</w:t>
      </w:r>
    </w:p>
    <w:p>
      <w:r>
        <w:rPr>
          <w:b/>
        </w:rPr>
        <w:t>E. 4</w:t>
      </w:r>
    </w:p>
    <w:p>
      <w:r>
        <w:t>Si, comme le soulève l'assuré, le raisonnement des premiers juges quant à l'assimilation du trouble du sommeil au trouble somatoforme douloureux paraît douteux, leur constatation sur l'absence d'incapacité de travail et donc d'invalidité résultant de la première atteinte mentionnée n'est pas manifestement inexacte ni arbitraire. En effet, en ce qui concerne les effets invalidants de la somnolence diurne, la juridiction cantonale a considéré, en se fondant sur les pièces produites en instance cantonale, qu'aucun des praticiens amenés à se prononcer sur l'état de santé du recourant n'a retenu une incapacité de travail; seul le docteur D.________ était d'un avis contraire mais dénué de valeur probante. Cette constatation n'est pas sérieusement remise en question par le recourant qui critique essentiellement l'assimilation des troubles en cause à un trouble somatoforme douloureux. Par ailleurs, il ressort des rapports médicaux portés à la connaissance du tribunal cantonal (cf. art. 105 al. 2 LTF ) qu'au regard de l'origine multifactorielle des troubles du sommeil, en lien notamment avec un syndrome des apnées du sommeil, un traitement efficace (ventilation nocturne assistée [CPAP]) a été mis en place depuis le 9 décembre 2014 pour lutter contre la somnolence diurne dont souffrait l'assuré (rapports des docteurs E.________, spécialiste en neurologie, du 23 janvier 2014, F.________, spécialiste en médecine générale, du 11 février 2016, et G.________, spécialiste en médecine interne générale, du 3 mars 2016). Si le traitement était, selon le docteur F.________, difficilement supporté, le docteur G.________ a en revanche expliqué que la "compliance" était de 85 % des nuits avec une utilisation médiane de 3h25 (ce qui était insuffisant puisque le minimum était de 4h00); le traitement restait cependant efficace dans la mesure ou l'index d'apnées-hypopnées résiduel était de 0,8/heure. Le docteur G.________ a en outre évoqué le contrôle du bon déroulement dudit traitement exercé par la ligue pulmonaire fribourgeoise. Dans ces circonstances, il n'y a pas lieu de s'écarter des constatations de la juridiction cantonale quant à l'absence d'incapacité de travail due aux troubles du sommeil ainsi qu'à l'amélioration de l'état de santé du recourant sous l'angle de l' art. 17 al. 1 LPGA .</w:t>
      </w:r>
    </w:p>
    <w:p>
      <w:r>
        <w:rPr>
          <w:b/>
        </w:rPr>
        <w:t>E. 5.1</w:t>
      </w:r>
    </w:p>
    <w:p>
      <w:r>
        <w:t>Dans un second grief, le recourant affirme que, pour les cas exceptionnels dans lesquels l'assuré perçoit une rente depuis 15 ans ou est âgé de plus de 55 ans au moment de la suppression de la rente, le Tribunal fédéral n'a jamais soumis l'examen et la mise en oeuvre de mesures d'ordre professionnel à la condition que l'intéressé continue à subir une invalidité d'au moins 20 %.</w:t>
      </w:r>
    </w:p>
    <w:p>
      <w:r>
        <w:rPr>
          <w:b/>
        </w:rPr>
        <w:t>E. 5.2</w:t>
      </w:r>
    </w:p>
    <w:p>
      <w:r>
        <w:t>L'argumentation du recourant est bien fondée. La jurisprudence considère en effet que malgré l'existence d'une capacité de travail médico-théorique, il existe des situations dans lesquelles il convient d'admettre que des mesures d'ordre professionnel sont nécessaires. Il s'agit des cas dans lesquels la réduction ou la suppression, par révision ( art. 17 al. 1 LPGA ) ou reconsidération ( art. 53 al. 2 LPGA ),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 même ne peut, sauf exception, être exigée d'elle en raison de son âge ou de la durée du versement de la rente (arrêts 9C_283/2016 du 5 décembre 2016 consid. 6.2 et les références; 9C_920/2013 du 20 mai 2014 consid. 4.4 et les références). Dans de telles situations, l'office de l'assurance-invalidité doit vérifier dans quelle mesure l'assuré a besoin de la mise en oeuvre de mesures d'ordre professionnel, même si ce dernier a recouvré une capacité de travail et indépendamment du taux d'invalidité qui subsiste.</w:t>
      </w:r>
    </w:p>
    <w:p>
      <w:r>
        <w:rPr>
          <w:b/>
        </w:rPr>
        <w:t>E. 5.3</w:t>
      </w:r>
    </w:p>
    <w:p>
      <w:r>
        <w:t>Dès lors que l'assuré bénéficie d'une rente d'invalidité depuis le 1er janvier 1995, soit depuis plus de 15 ans, il appartient à la catégorie d'assurés dont il convient de présumer qu'ils ne peuvent en principe pas entreprendre de leur propre chef tout ce que l'on peut raisonnablement attendre d'eux pour tirer profit de leur capacité résiduelle de travail. En considérant que le recourant n'avait pas droit à des mesures de réadaptation sans même avoir examiné la situation concrète de l'assuré, au motif que le taux d'invalidité n'atteignait pas 20 %, les premiers juges ont violé le droit en ne faisant pas application de la jurisprudence fédérale, rappelée dans l'arrêt de la Cour de céans du 17 novembre 2015, et ont ainsi commis une violation du droit. Il ne découle par ailleurs pas de leurs constatations que l'on se trouverait en présence d'un cas où il y aurait lieu d'admettre que la réadaptation par soi-même puisse être exigée d'un assuré bénéficiant d'une rente depuis plus de quinze ans. Au vu de sa décision du 23 août 2013, l'office intimé n'a pas concrètement examiné la situation du recourant et la question de l'octroi éventuel de mesures d'accompagnement à la réintégration professionnelle. En l'état, il n'apparaît à première vue pas vraisemblable que le recourant puisse, compte tenu de son éloignement prolongé du marché du travail, reprendre du jour au lendemain une activité lucrative sans que ne soit mises préalablement en oeuvre des mesures destinées à l'aider à se réinsérer dans le monde du travail. Par conséquent, il convient de renvoyer le dossier à l'office intimé afin qu'il examine concrètement les besoins objectifs de l'assuré à ce propos. Ce n'est qu'à l'issue de cet examen et de la mise en oeuvre d'éventuelles mesures de réintégration sur le marché du travail que l'office intimé pourra définitivement statuer sur la reconsidération de la rente d'invalidité et, le cas échéant, supprimer le droit à la rente (voir arrêt 9C_163/2009 précité consid. 4.1.1 et les références).</w:t>
      </w:r>
    </w:p>
    <w:p>
      <w:r>
        <w:rPr>
          <w:b/>
        </w:rPr>
        <w:t>E. 6</w:t>
      </w:r>
    </w:p>
    <w:p>
      <w:r>
        <w:t>Au vu de ce qui précède, le recours se révèle bien fondé. Les frais judiciaires seront supportés par l'office intimé qui succombe ( art. 66 al. 1 LTF ). Celui-ci versera par ailleurs une indemnité de dépens au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