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9C_516/2012 vom 3. Januar 2013</w:t>
      </w:r>
    </w:p>
    <w:p>
      <w:r>
        <w:t>Bundesgericht, 2013-01-03, FR</w:t>
      </w:r>
    </w:p>
    <w:p>
      <w:r>
        <w:rPr>
          <w:b/>
        </w:rPr>
        <w:t xml:space="preserve">Quelle: </w:t>
      </w:r>
      <w:r>
        <w:t>https://mcp.opencaselaw.ch/entscheid/bger_9C_516_2012</w:t>
      </w:r>
    </w:p>
    <w:p>
      <w:r>
        <w:t>FR: TF 9C_516/2012 du 3 janvier 2013</w:t>
      </w:r>
    </w:p>
    <w:p>
      <w:r>
        <w:t>IT: TF 9C_516/2012 del 3 gennaio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Lorsque la rente a été refusée une première fois parce que le degré d'invalidité était insuffisant, la nouvelle demande ne peut être examinée que si l'assuré rend plausible que son invalidité s'est modifiée de manière à influencer ses droits (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125 V 410 consid. 2b p. 412, 117 V 198 consid. 4b p. 200 et les références).</w:t>
      </w:r>
    </w:p>
    <w:p>
      <w:r>
        <w:t>Lorsque l'administration est entrée en matière selon l'art. 87 al. 4 en lien avec l'al. 3 RAI, il convient d'examiner, par analogie avec l' art. 17 LPGA ( ATF 130 V 71 consid. 3.2 p. 75ss), si entre la décision de refus de prestations entrée en force et la décision litigieuse, un changement important des circonstances propre à influencer le degré d'invalidité, et donc le droit à la rente, s'est produit ( ATF 130 V 343 consid. 3.5.2 p. 351).</w:t>
      </w:r>
    </w:p>
    <w:p>
      <w:r>
        <w:rPr>
          <w:b/>
        </w:rPr>
        <w:t>E. 3.1</w:t>
      </w:r>
    </w:p>
    <w:p>
      <w:r>
        <w:t>Les premiers juges ont considéré que l'intimé avait formellement rejeté la demande du 25 janvier 2011 et partant, était entré en matière sur le droit du recourant à une rente de l'assurance-invalidité. Ils n'ont ainsi pas examiné si ce dernier avait rendu plausible une aggravation de son état de santé mais si une telle aggravation, susceptible de lui ouvrir le droit à des prestations, était survenue depuis le 6 mai 2008 - date de la précédente décision de l'intimé. Ils ont répondu par la négative, au motif que les docteurs G.________ et S.________ n'avaient fait part d'aucun élément objectif en ce sens.</w:t>
      </w:r>
    </w:p>
    <w:p>
      <w:r>
        <w:rPr>
          <w:b/>
        </w:rPr>
        <w:t>E. 3.2</w:t>
      </w:r>
    </w:p>
    <w:p>
      <w:r>
        <w:t>Le recourant se plaint d'une constatation manifestement inexacte des faits pertinents, consécutive à une mauvaise appréciation des preuves, et d'une violation du droit fédéral. Il soutient en substance que les premiers juges ont ignoré des éléments objectifs, fournis par le docteur S.________, démontrant que sa situation médicale avait subi pendant la période déterminante une modification notable susceptible d'influencer son taux d'invalidité.</w:t>
      </w:r>
    </w:p>
    <w:p>
      <w:r>
        <w:rPr>
          <w:b/>
        </w:rPr>
        <w:t>E. 4.1</w:t>
      </w:r>
    </w:p>
    <w:p>
      <w:r>
        <w:t>Après avoir sollicité son SMR pour qu'il se prononce sur le rapport du docteur G.________ du 11 mars 2011, l'intimé a renoncé à mettre en oeuvre des investigations supplémentaires relatives à l'état de santé du recourant. Il n'est dès lors pas entré en matière sur la demande du 25 janvier 2011, contrairement à ce qu'ont affirmé les premiers juges sur la base du libellé du dispositif de la décision litigieuse. Cela ressort d'ailleurs non seulement de l'intitulé de cet acte mais aussi de sa motivation, dans laquelle l'intimé invoque l' art. 87 RAI et considère que, vu les circonstances, il ne peut pas entrer en matière.</w:t>
      </w:r>
    </w:p>
    <w:p>
      <w:r>
        <w:rPr>
          <w:b/>
        </w:rPr>
        <w:t>E. 4.2</w:t>
      </w:r>
    </w:p>
    <w:p>
      <w:r>
        <w:t>Il s'ensuit que le litige porte sur le bien-fondé du refus de l'intimé d'entrer en matière sur la demande du 25 janvier 2011. La cause devrait donc en principe être renvoyée aux premiers juges afin qu'ils se prononcent - en respectant le droit d'être entendu du recourant - sur la question de savoir si celui-ci a rendu plausible l'existence d'une aggravation de son état de santé. On peut cependant y renoncer en l'occurrence: en affirmant que le docteur S.________ a fait part d'éléments objectifs établissant une péjoration significative de ses troubles dorso-lombaires, l'intéressé estime implicitement avoir satisfait à cette condition et les constatations du jugement attaqué montrent bien que les premiers juges ne partagent pas cet avis. L'instance cantonale a en effet considéré que le docteur G.________ évoquait dans son certificat du 11 mars 2011 un syndrome d'apnées du sommeil "sous contrôle" ainsi qu'une toux persistante qui ne pouvait pas présenter un caractère invalidant. Quant à l'augmentation des dorso-lombalgies dont avait fait état ce médecin, elle n'était pas étayée par des éléments objectifs. Les conclusions du docteur S.________ ne reposaient pas non plus sur de tels éléments, celui-ci s'étant livré à une appréciation de la capacité de travail du recourant basée sur des critères qui ne relevaient ni du domaine médical ni de celui de l'assurance-invalidité et n'ayant pas jugé utile de procéder à un examen radiologique. Aucune aggravation de l'état de santé du recourant n'avait ainsi pu objectivement être mise en évidence (jugement entrepris, consid. 8 p. 6 s.).</w:t>
      </w:r>
    </w:p>
    <w:p>
      <w:r>
        <w:rPr>
          <w:b/>
        </w:rPr>
        <w:t>E. 5</w:t>
      </w:r>
    </w:p>
    <w:p>
      <w:r>
        <w:t>Le recourant ne parvient pas à démontrer en quoi ces constatations seraient manifestement inexactes ou auraient été établies en violation du droit. Il est vrai que le docteur S.________ s'est référé (dans son rapport du 9 juin 2011 et lors de son audition par les premiers juges) à une IRM pratiquée en 2009 et que les premiers juges n'ont fait aucune mention de cet élément. Des résultats de cet examen, le médecin en question s'est cependant contenté de déduire l'existence d'une pathologie lombaire lentement évolutive. Ainsi que l'ont retenu les premiers juges, ses conclusions relatives à la capacité de travail du recourant ne se fondent en revanche sur aucun élément objectif. Ce chirurgien a effectivement indiqué dans son rapport du 9 juin 2011 qu'une reprise du travail lui paraissait possible du point de vue médical mais difficile en pratique compte tenu de l'âge du recourant, de sa profession et d'une période d'inactivité de quatorze ans; il a ensuite évoqué, lors de son audition devant la juridiction cantonale, une capacité résiduelle de travail de 50% dans une activité adaptée aux limitations fonctionnelles de l'intéressé - tout en précisant qu'il lui était difficile de se prononcer précisément à ce sujet - mais n'a aucunement motivé cette appréciation.</w:t>
      </w:r>
    </w:p>
    <w:p>
      <w:r>
        <w:rPr>
          <w:b/>
        </w:rPr>
        <w:t>E. 6</w:t>
      </w:r>
    </w:p>
    <w:p>
      <w:r>
        <w:t>Compte tenu de ce qui précède, le recours est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