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514/2014 vom 23. Dezember 2014</w:t>
      </w:r>
    </w:p>
    <w:p>
      <w:r>
        <w:t>Bundesgericht, 2014-12-23, FR</w:t>
      </w:r>
    </w:p>
    <w:p>
      <w:r>
        <w:rPr>
          <w:b/>
        </w:rPr>
        <w:t xml:space="preserve">Quelle: </w:t>
      </w:r>
      <w:r>
        <w:t>https://mcp.opencaselaw.ch/entscheid/bger_9C_514_2014</w:t>
      </w:r>
    </w:p>
    <w:p>
      <w:r>
        <w:t>FR: TF 9C 514/2014 du 23 décembre 2014</w:t>
      </w:r>
    </w:p>
    <w:p>
      <w:r>
        <w:t>IT: TF 9C 514/2014 del 23 dicembre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 recourante à une rente d'invalidité.</w:t>
      </w:r>
    </w:p>
    <w:p>
      <w:r>
        <w:rPr>
          <w:b/>
        </w:rPr>
        <w:t>E. 3</w:t>
      </w:r>
    </w:p>
    <w:p>
      <w:r>
        <w:t>Faisant application de la méthode spécifique d'évaluation de l'invalidité, le Tribunal administratif fédéral a nié le droit de la recourante à une rente d'invalidité, au motif que celle-ci, qui n'exerçait aucune activité lucrative depuis son retour au Portugal, n'était pas empêchée d'accomplir ses travaux habituels et ne présentait dès lors pas un degré d'invalidité suffisant pour permettre l'octroi d'une rente.</w:t>
      </w:r>
    </w:p>
    <w:p>
      <w:r>
        <w:rPr>
          <w:b/>
        </w:rPr>
        <w:t>E. 4</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 art. 28a al. 2 LAI en corrélation avec les art. 8 al. 3 LPGA et 27 du règlement sur l'assurance-invalidité [RAI; RS 831.201]). Par travaux habituels, il faut notamment entendre l'activité usuelle dans le ménage, l'éducation des enfants ainsi que toute activité artistique ou d'utilité publique (cf. art. 27 RAI ; ATF 137 V 334 consid. 3.1 et 3.1.1 p. 337).</w:t>
      </w:r>
    </w:p>
    <w:p>
      <w:r>
        <w:rPr>
          <w:b/>
        </w:rPr>
        <w:t>E. 5</w:t>
      </w:r>
    </w:p>
    <w:p>
      <w:r>
        <w:t>La recourante conteste d'abord le choix de la méthode d'évaluation utilisée pour mesurer son taux d'invalidité (soit la méthode spécifique) qu'elle qualifie d'injuste. Cela étant, elle n'explique pas en quoi le choix de la méthode spécifique utilisée par les premiers juges violerait le droit fédéral. Elle ne prétend pas non plus qu'il faudrait appliquer la méthode de comparaison des revenus ou la méthode mixte.</w:t>
      </w:r>
    </w:p>
    <w:p>
      <w:r>
        <w:rPr>
          <w:b/>
        </w:rPr>
        <w:t>E. 6</w:t>
      </w:r>
    </w:p>
    <w:p>
      <w:r>
        <w:t>La recourante reproche ensuite au Tribunal administratif fédéral d'avoir procédé à une constatation manifestement inexacte des faits pertinents consécutive à une mauvaise appréciation des preuves et, partant, d'avoir violé le droit fédéral. Se fondant sur le rapport du docteur D.________ du 2 novembre 2007, dont il ressort qu'elle ne peut pas conduire ni travailler à l'extérieur ou à l'intérieur de sa maison et sur le questionnaire pour les assurés travaillant dans le ménage qu'elle avait rempli le 28 mai 2012, elle conteste pouvoir effectuer quelque tâche domestique que ce soit en raison des risques de coupures, brûlures et chutes inhérents à sa maladie. Elle se contente toutefois de présenter sa propre appréciation des faits en décrivant longuement son état de santé, certificats médicaux à l'appui, et n'émet aucune critique précise à l'encontre des rapports des médecins du SMR. Elle n'explique pas, au moyen d'une argumentation précise et étayée, le caractère manifestement inexact de l'appréciation des preuves du Tribunal administratif fédéral qui a constaté que, compte tenu des documents médicaux au dossier, l'accomplissement des travaux habituels restait toujours exigible dans une mesure suffisante pour exclure le droit à une rente. Un diagnostic de crises d'épilepsie réfractaires aux traitements de la maladie n'est en soi pas suffisant, au regard du droit suisse, à établir une incapacité fonctionnelle. Selon le docteur C.________, la recourante présentait lors de ses crises d'épilepsies des absences de courte durée, avec une perte de contact hypothétique, occasionnellement accompagnées d'automatismes moteurs, pouvant constituer des pertes de connaissances de quelques minutes par mois. Le faible nombre de crises généralisées (soit trois en 23 ans en tenant compte des certificats médicaux produits par la recourante) n'était pas de nature à empêcher l'intéressée d'effectuer ses tâches ménagères (rapport du 19 février 2013).</w:t>
      </w:r>
    </w:p>
    <w:p>
      <w:r>
        <w:rPr>
          <w:b/>
        </w:rPr>
        <w:t>E. 7</w:t>
      </w:r>
    </w:p>
    <w:p>
      <w:r>
        <w:t>La recourante soutient encore en vain que l'allocation d'une rente d'invalidité par la sécurité sociale portugaise justifierait également qu'elle bénéficie d'une rente de l'assurance-invalidité suisse. Or, le degré d'invalidité d'un assuré qui prétend à une telle prestation est déterminé exclusivement d'après le droit suisse ( ATF 130 V 253 consid. 2.4 p. 257), de sorte que les autorités administratives et juridictionnelles suisses ne sauraient être liées de quelque manière que ce soit par les décisions des autorités portugaises.</w:t>
      </w:r>
    </w:p>
    <w:p>
      <w:r>
        <w:rPr>
          <w:b/>
        </w:rPr>
        <w:t>E. 8</w:t>
      </w:r>
    </w:p>
    <w:p>
      <w:r>
        <w:t>Mal fondé, le recours doit être rejeté.</w:t>
      </w:r>
    </w:p>
    <w:p>
      <w:r>
        <w:rPr>
          <w:b/>
        </w:rPr>
        <w:t>E. 9</w:t>
      </w:r>
    </w:p>
    <w:p>
      <w:r>
        <w:t>Vu l'issue du litige, la recourante,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