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9C_514/2012 vom 5. Oktober 2012</w:t>
      </w:r>
    </w:p>
    <w:p>
      <w:r>
        <w:t>Bundesgericht, 2012-10-05, FR</w:t>
      </w:r>
    </w:p>
    <w:p>
      <w:r>
        <w:rPr>
          <w:b/>
        </w:rPr>
        <w:t xml:space="preserve">Quelle: </w:t>
      </w:r>
      <w:r>
        <w:t>https://mcp.opencaselaw.ch/entscheid/bger_9C_514_2012</w:t>
      </w:r>
    </w:p>
    <w:p>
      <w:r>
        <w:t>FR: TF 9C_514/2012 du 5 octobre 2012</w:t>
      </w:r>
    </w:p>
    <w:p>
      <w:r>
        <w:t>IT: TF 9C_514/2012 del 5 ottobre 2012</w:t>
      </w:r>
    </w:p>
    <w:p>
      <w:pPr>
        <w:pStyle w:val="Heading2"/>
      </w:pPr>
      <w:r>
        <w:t>Erwägungen</w:t>
      </w:r>
    </w:p>
    <w:p>
      <w:r>
        <w:rPr>
          <w:b/>
        </w:rPr>
        <w:t>E. 1</w:t>
      </w:r>
    </w:p>
    <w:p>
      <w:r>
        <w:t>En tant qu'il renvoie le dossier à l'administration pour qu'elle procède à l'examen des conditions du droit aux prestations à compter du 18 juillet 2001, le jugement entrepris doit être qualifié de décision incidente qui ne peut être attaquée qu'aux conditions de l' art. 93 LTF ( ATF 133 V 477 consid. 4.2 p. 482). Dans le cas particulier, la juridiction cantonale a considéré que l'intimée disposait de la capacité de discernement quant à la question de son domicile et que celui-ci coïncidait, depuis la date précitée, avec le lieu de sa résidence. Sur ce point, le jugement attaqué contient une instruction impérative destinée à l'autorité inférieure qui ne lui laisse plus aucune latitude de jugement pour la suite de la procédure. En cela, l'office AI subit un préjudice irréparable au sens de l' art. 93 al. 1 let. a LTF , si bien qu'il y a lieu d'entrer en matière (cf. ATF 133 V 477 consid. 5.2.4 p. 484 s.).</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3</w:t>
      </w:r>
    </w:p>
    <w:p>
      <w:r>
        <w:t>Le litige porte uniquement sur la question de savoir si l'instance cantonale a violé le droit fédéral en concluant que l'intimée s'était constitué un domicile volontaire en Suisse à partir du 18 juillet 2001. Le jugement entrepris expose correctement les articles légaux et les principes jurisprudentiels nécessaires à la résolution du cas, de sorte qu'il suffit d'y renvoyer.</w:t>
      </w:r>
    </w:p>
    <w:p>
      <w:r>
        <w:rPr>
          <w:b/>
        </w:rPr>
        <w:t>E. 4</w:t>
      </w:r>
    </w:p>
    <w:p>
      <w:r>
        <w:t>En exécution de l'arrêt publié aux ATF 135 V 249 - dans lequel le Tribunal fédéral a jugé que le domicile dérivé des personnes sous tutelle n'était pas déterminant dans le cadre de l' art. 13 al. 1 LPGA , tout en renvoyant la cause à l'instance cantonale pour qu'elle examine si l'intimée s'était, à compter de la situation telle qu'elle se présentait dans l'arrêt publié aux ATF 130 V 404 , créé un domicile volontaire en Suisse - les premiers juges ont sollicité une expertise auprès des doctoresses G.________ et L.________ de la Fondation Y.________. Se fondant sur les constatations des deux expertes, qui figurent intégralement dans le jugement entrepris, l'instance cantonale a admis que l'intimée disposait de la capacité de discernement s'agissant de la constitution d'un domicile.</w:t>
      </w:r>
    </w:p>
    <w:p>
      <w:r>
        <w:t>Les arguments avancés par le recourant à l'encontre de cette conclusion sont manifestement infondés. D'une part, les constatations de la juridiction cantonale, dès lors qu'elles reposent sur un rapport médical explicite, circonstancié et clairement formulé, ne peuvent en aucun cas être qualifiées de manifestement inexactes (cf. ATF 132 III 209 consid. 2.1 p. 211 et les références). D'autre part, le juge ne saurait s'écarter sans motifs impératifs des conclusions d'une expertise médicale judiciaire, la tâche de l'expert étant précisément de mettre ses connaissances spéciales à la disposition de la justice afin de l'éclairer sur les aspects médicaux d'un état de fait donné ( ATF 125 V 351 consid. 3b/aa p. 352 et les références). Or de tels motifs font défaut en l'espèce. Lorsque le SMR affirme, dans son rapport du 8 septembre 2011, que les médecins de la Fondation Y.________ auraient dû procéder à un test d'intelligence (détermination du quotient intellectuel), il méconnaît la jurisprudence selon laquelle les experts sont en principe libres de choisir la méthodologie à appliquer (arrêts 9C_886/2009 du 27 avril 2010 consid. 2.2; 9C_538/2009 du 8 janvier 2010 consid. 3.3). Il y a lieu au surplus de constater, par une appréciation anticipée des preuves, que même l'existence d'un quotient intellectuel très bas n'aurait pu infirmer l'exposé détaillé des deux expertes selon lequel l'intimée dispose de facultés cognitives et volitives suffisantes s'agissant de déterminer le lieu où elle souhaite habiter. On relèvera par exemple que selon ces spécialistes, l'intimée se sent chez elle auprès de l'institution X.________, dans laquelle elle réside depuis près de trente ans et est angoissée à l'idée de quitter la Suisse, alors que le retour dans ce pays à l'issue de vacances passées à l'étranger ne déclenche chez elle aucun sentiment de peur.</w:t>
      </w:r>
    </w:p>
    <w:p>
      <w:r>
        <w:rPr>
          <w:b/>
        </w:rPr>
        <w:t>E. 5</w:t>
      </w:r>
    </w:p>
    <w:p>
      <w:r>
        <w:t>Au vu de ce qui précède, l'intimée satisfait au réquisit d'un domicile volontaire en Suisse et, partant, sa qualité d'assurée est établie. C'est dès lors à bon droit que l'instance cantonale a renvoyé la cause au recourant pour examen du droit aux prestations qu'elle a réclamées et nouvelle décision. Le présent arrêt rend sans objet la demande d'octroi de l'effet suspensif au recours dont le recourant a assorti son écriture.</w:t>
      </w:r>
    </w:p>
    <w:p>
      <w:r>
        <w:rPr>
          <w:b/>
        </w:rPr>
        <w:t>E. 6</w:t>
      </w:r>
    </w:p>
    <w:p>
      <w:r>
        <w:t>Vu l'issue du litige, les frais afférents à la présente procédure seront supportés par le recourant qui succombe ( art. 66 al. 1 LTF ). L'intimée a droit à une indemnité de dépens à la charge du recourant. Sa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