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9C_513/2023 vom 8. April 2024</w:t>
      </w:r>
    </w:p>
    <w:p>
      <w:r>
        <w:t>Bundesgericht, 2024-04-08, FR</w:t>
      </w:r>
    </w:p>
    <w:p>
      <w:r>
        <w:rPr>
          <w:b/>
        </w:rPr>
        <w:t xml:space="preserve">Quelle: </w:t>
      </w:r>
      <w:r>
        <w:t>https://mcp.opencaselaw.ch/entscheid/bger_9C_513_2023</w:t>
      </w:r>
    </w:p>
    <w:p>
      <w:r>
        <w:t>FR: TF 9C_513/2023 du 8 avril 2024</w:t>
      </w:r>
    </w:p>
    <w:p>
      <w:r>
        <w:t>IT: TF 9C_513/2023 del 8 aprile 2024</w:t>
      </w:r>
    </w:p>
    <w:p>
      <w:pPr>
        <w:pStyle w:val="Heading2"/>
      </w:pPr>
      <w:r>
        <w:t>Erwägungen</w:t>
      </w:r>
    </w:p>
    <w:p>
      <w:r>
        <w:rPr>
          <w:b/>
        </w:rPr>
        <w:t>E. 1.1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parallèlement à l'annulation de l'arrêt entrepris et au renvoi subsidiaire de la cause à la juridiction précédente, à ce qu'il soit constaté que C.________ est seule débitrice de la somme à restituer de 87'576 fr., il formule une conclusion "préparatoire" puisqu'elle porte sur une question qui doit être tranchée en vue d'examiner les conclusions condamnatoires. Une telle conclusion constatatoire est irrecevable (cf. arrêt 2C_988/2017 du 19 septembre 2018 consid. 1.2, non publié in ATF 144 II 473 ). On comprend toutefois que le recourant entend être libéré de son obligation de restituer à l'intimée la somme de 87'576 fr. correspondant aux rentes de vieillesse qu'elle a indûment versées sur le compte de feu son père du 1er avril 2015 au 31 août 2018, de sorte qu'il y a lieu d'entrer en matière sur le recours.</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2.1</w:t>
      </w:r>
    </w:p>
    <w:p>
      <w:r>
        <w:t>Le litige porte sur l'obligation du recourant de restituer le montant de 87'576 fr., correspondant aux rentes de vieillesse versées indûment par l'intimée sur le compte de feu son père en vertu des art. 25 al. 1, 1re phrase, LPGA et 2 al. 1 let. a OPGA (RS 830.11). Compte tenu des motifs et conclusions du recours, est seule litigieuse la question de savoir si cette obligation est opposable à A.________.</w:t>
      </w:r>
    </w:p>
    <w:p>
      <w:r>
        <w:t>Le prénommé ne conteste pas le caractère indu des rentes versées d'avril 2015 à août 2018 (soit dès le mois suivant celui au cours duquel est survenu le décès de son père; cf. art. 21 al. 2 LAVS ; arrêt H 339/01 du 17 juin 2002 consid. 4b), ni le montant à restituer. Il ne prétend pas non plus que la caisse de compensation n'aurait pas respecté les délais de péremption relatif (d'une année dès la connaissance le 29 août 2018 du décès de B.________ survenu mars 2015) et absolu (de cinq ans après le versement des prestations servies dès avril 2015) prévus par l' art. 25 al. 2 LPGA , dans sa teneur en vigueur jusqu'au 31 décembre 2020, applicable en l'espèce ( ATF 144 V 210 consid. 4.3.1).</w:t>
      </w:r>
    </w:p>
    <w:p>
      <w:r>
        <w:rPr>
          <w:b/>
        </w:rPr>
        <w:t>E. 2.2</w:t>
      </w:r>
    </w:p>
    <w:p>
      <w:r>
        <w:t>A la suite des juges précédents, on rappellera que selon l' art. 25 al. 1 LPGA , les prestations indûment touchées doivent être restituées. La restitution ne peut être exigée lorsque l'intéressé était de bonne foi et qu'elle le mettrait dans une situation difficile. Aux termes de l' art. 2 al. 1 let. a OPGA , sont soumis à l'obligation de restituer le bénéficiaire des prestations allouées indûment ou ses héritiers.</w:t>
      </w:r>
    </w:p>
    <w:p>
      <w:r>
        <w:rPr>
          <w:b/>
        </w:rPr>
        <w:t>E. 3.1</w:t>
      </w:r>
    </w:p>
    <w:p>
      <w:r>
        <w:t>A l'appui de son recours A.________ se prévaut d'une application erronée et arbitraire de l'art. 2 al. 2 (recte: 1) let. a OPGA. Il fait en substance valoir qu'il s'agit en l'espèce d'un cas de restitution fondé sur l'enrichissement illégitime au sens de l' art. 62 CO et que la cause ayant justifié le versement des rentes, à la suite du décès de son père, réside dans un acte illicite commis par sa soeur au préjudice de la caisse de compensation. De l'avis du recourant, les agissements de sa soeur (à savoir la transmission de faux certificats d'existence en vie pour cacher le décès de B.________) ont entraîné "une rupture du lien de causalité entre l'enrichissement illégitime et la dette en restitution dont répondaient les héritiers au décès". En conséquence, selon le recourant, seule C.________ doit être reconnue débitrice de la somme à restituer de 87'576 fr.</w:t>
      </w:r>
    </w:p>
    <w:p>
      <w:r>
        <w:rPr>
          <w:b/>
        </w:rPr>
        <w:t>E. 3.2</w:t>
      </w:r>
    </w:p>
    <w:p>
      <w:r>
        <w:t>L'argumentation du recourant à l'appui de l'application de l' art. 62 CO est mal fondée, pour les raisons qui suivent.</w:t>
      </w:r>
    </w:p>
    <w:p>
      <w:r>
        <w:rPr>
          <w:b/>
        </w:rPr>
        <w:t>E. 3.2.1</w:t>
      </w:r>
    </w:p>
    <w:p>
      <w:r>
        <w:t>Comme l'a dûment exposé l'instance précédente, l' art. 2 al. 1 let. a OPGA concrétise la jurisprudence du Tribunal fédéral des assurances, selon laquelle la dette de la personne tenue à restitution passe aux héritiers - sauf répudiation de la succession - au décès de cette dernière ( ATF 105 V 82 consid. 3; 96 V 73 consid. 1), même lorsque l'administration n'a pas fait valoir la créance en restitution du vivant de la personne tenue à restitution (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pour l'entier de la dette (rapport externe; arrêt P 32/06 du 14 novembre 2006 consid. 3.3 et les références citées). Celui des héritiers qui restitue effectivement le montant indûment perçu est libre, dans un second temps, d'intenter une action récursoire contre les autres héritiers (ici, le frère et la soeur du recourant) afin qu'ils assument leur part de la dette (rapport interne).</w:t>
      </w:r>
    </w:p>
    <w:p>
      <w:r>
        <w:rPr>
          <w:b/>
        </w:rPr>
        <w:t>E. 3.2.2</w:t>
      </w:r>
    </w:p>
    <w:p>
      <w:r>
        <w:t>Le recourant ne conteste pas les considérations de la juridiction de première instance sur le droit des successions espagnol, en particulier sur le principe de la succession universelle et sur la dévolution successorale, ni celles selon lesquelles il a accepté purement et simplement de manière tacite la succession de feu son père et doit être considéré comme son héritier au sens de l' art. 2 al. 1 let. a OPGA .</w:t>
      </w:r>
    </w:p>
    <w:p>
      <w:r>
        <w:t>En conséquence, dès lors que la créance en restitution porte sur des prestations versées (en trop) à B.________ pour la période allant du 1er avril 2015 au 31 août 2018 et relève d'un rapport de droit créé du vivant de celui-ci (à savoir la décision du 11 juillet 2003 portant sur la rente de vieillesse à partir du 1er août 2003), l'obligation de restitution a passé au recourant, même si c'est après le décès de feu l'assuré que les prestations ont été versées de manière indue et que la décision de restitution a été prise par la CSC, comme l'ont dûment exposé les juges précédents.</w:t>
      </w:r>
    </w:p>
    <w:p>
      <w:r>
        <w:rPr>
          <w:b/>
        </w:rPr>
        <w:t>E. 3.2.3</w:t>
      </w:r>
    </w:p>
    <w:p>
      <w:r>
        <w:t>Par ailleurs, c'est en vain que le recourant se prévaut des "agissements" de sa soeur. Etant donné que le principe de la restitution prévue par l'art. 25 al. 1, 1re phrase, LPGA doit permettre de rétablir l'ordre légal après la découverte du fait nouveau, il n'est tempéré ni par une éventuelle absence de violation de l'obligation de renseigner ni par un élément d'ordre subjectif comme la faute; ces questions ne se posent que dans le cadre d'un éventuel examen sur la remise de la somme à restituer (cf. ATF 139 V 6 consid. 3; 132 V 134 consid. 2e), qu'il est loisible au recourant de demander dans les 30 jours à compter du prononcé du présent arrêt (cf. art. 25 al. 1, 2e phrase, LPGA et art. 4 al. 4 OPGA ).</w:t>
      </w:r>
    </w:p>
    <w:p>
      <w:r>
        <w:rPr>
          <w:b/>
        </w:rPr>
        <w:t>E. 3.3</w:t>
      </w:r>
    </w:p>
    <w:p>
      <w:r>
        <w:t>En définitive, il n'y a pas lieu de s'écarter de la conclusion de la juridiction précédente, selon laquelle le recourant est tenu de restituer le montant de 87'576 fr. versé indûment par l'intimée à feu son père en vertu des art. 25 al. 1, 1re phrase, LPGA et 2 al. 1 let. a OPGA. Le recours est mal fondé.</w:t>
      </w:r>
    </w:p>
    <w:p>
      <w:r>
        <w:rPr>
          <w:b/>
        </w:rPr>
        <w:t>E. 4</w:t>
      </w:r>
    </w:p>
    <w:p>
      <w:r>
        <w:t>Compte tenu de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