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513/2008 vom 23. März 2009</w:t>
      </w:r>
    </w:p>
    <w:p>
      <w:r>
        <w:t>Bundesgericht, 2009-03-23, FR</w:t>
      </w:r>
    </w:p>
    <w:p>
      <w:r>
        <w:rPr>
          <w:b/>
        </w:rPr>
        <w:t xml:space="preserve">Quelle: </w:t>
      </w:r>
      <w:r>
        <w:t>https://mcp.opencaselaw.ch/entscheid/bger_9C_513_2008</w:t>
      </w:r>
    </w:p>
    <w:p>
      <w:r>
        <w:t>FR: TF 9C 513/2008 du 23 mars 2009</w:t>
      </w:r>
    </w:p>
    <w:p>
      <w:r>
        <w:t>IT: TF 9C 513/2008 del 23 marzo 2009</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w:t>
      </w:r>
    </w:p>
    <w:p>
      <w:r>
        <w:t>La recourante fait grief aux premiers juges d'avoir considéré les écritures de la caisse AVS des 23 novembre 2005 et 12 février 2007 comme des décisions définitives tranchant une demande de reconsidération et faisant obstacle au traitement de la requête déposée le 4 avril 2007.</w:t>
      </w:r>
    </w:p>
    <w:p>
      <w:r>
        <w:rPr>
          <w:b/>
        </w:rPr>
        <w:t>E. 2.1</w:t>
      </w:r>
    </w:p>
    <w:p>
      <w:r>
        <w:t>Aux termes des art. 57 al. 1 let . g et 60 al. 1 let. b LAI, il appartient aux caisses de compensation de calculer le montant des rentes d'invalidité et aux offices AI de rendre les décisions relatives aux prestations (cf. aussi art. 41 al. 1 let . d et 44 RAI; ATF 127 V 213 consid 1c p. 216 ss).</w:t>
      </w:r>
    </w:p>
    <w:p>
      <w:r>
        <w:rPr>
          <w:b/>
        </w:rPr>
        <w:t>E. 2.2</w:t>
      </w:r>
    </w:p>
    <w:p>
      <w:r>
        <w:t>Peu importe en l'occurrence la nature ou la dénomination de l'écriture du 23 novembre 2005 et l'artifice juridique qui a permis d'aboutir à la décision sur opposition du 12 février 2007, il apparaît que seul l'office intimé était compétent pour rendre une décision. Le raisonnement de la juridiction cantonale relatif à la violation du principe de l'autorité de chose jugée est donc erroné. Partant, l'administration pouvait entrer en matière sur la demande déposée le 4 avril 2007.</w:t>
      </w:r>
    </w:p>
    <w:p>
      <w:r>
        <w:rPr>
          <w:b/>
        </w:rPr>
        <w:t>E. 3</w:t>
      </w:r>
    </w:p>
    <w:p>
      <w:r>
        <w:t>A cet égard, l'intéressée reproche aux premiers juges d'avoir considéré que l' ATF 126 V 226 ne justifiait pas la reconsidération de la décision du 15 avril 1997 au motif qu'elle était alors conforme à une circulaire de l'OFAS.</w:t>
      </w:r>
    </w:p>
    <w:p>
      <w:r>
        <w:rPr>
          <w:b/>
        </w:rPr>
        <w:t>E. 3.1</w:t>
      </w:r>
    </w:p>
    <w:p>
      <w:r>
        <w:t>Selon l' art. 53 al. 2 LPGA , qui codifie la jurisprudence antérieure à son entrée en vigueur (cf., par exemple, ATF 127 V 466 consid. 2c p. 469 et les références), l'assureur peut revenir sur les décisions formellement passées en force lorsqu'elles sont manifestement erronées et que leur rectification revêt une importance notable. Pour juger s'il y a lieu de reconsidérer une décision au motif qu'elle est indubitablement erronée, il faut se fonder sur la situation juridique qui existait lorsque la décision a été rendue compte tenu de la pratique en vigueur à l'époque ( ATF 125 V 383 consid. 3 p. 389 et les références). La reconsidération permet de corriger une application initiale erronée du droit ou une appréciation erronée des faits et ne se justifie généralement pas par un changement de pratique ou de jurisprudence ( ATF 117 V 8 consid. 2c p. 17, 115 V 308 consid. 4a/cc p. 314). Pour des raisons de sécurité juridique, l'irrégularité doit être manifeste afin d'éviter que la reconsidération devienne un instrument autorisant sans autres limitations un nouvel examen des conditions à la base des prestations de longue durée. En particulier, les organes d'application ne peuvent procéder en tout temps à une nouvelle appréciation de la situation après un examen plus approfondi des faits. Une inexactitude manifeste ne saurait ainsi être admise lorsque l'octroi de la prestation dépend de conditions matérielles dont l'examen suppose un pouvoir d'appréciation et que la décision initiale paraît admissible compte tenu de la situation de fait et de droit. S'il subsiste des doutes raisonnables sur le caractère erroné de la décision initiale, les conditions d'une reconsidération ne sont pas remplies (cf. arrêts 9C_71/2008 du 14 mars 2008 consid. 2, 9C_575/2007 du 18 octobre 2007 consid. 2.2, I 907/06 du 7 mai 2007 consid. 3.2.1, I 338/06 du 30 janvier 2007 consid. 3).</w:t>
      </w:r>
    </w:p>
    <w:p>
      <w:r>
        <w:rPr>
          <w:b/>
        </w:rPr>
        <w:t>E. 3.2</w:t>
      </w:r>
    </w:p>
    <w:p>
      <w:r>
        <w:t>En l'occurrence, s'il est vrai que l' ATF 126 V 226 constate l'illégalité de la pratique déduite par l'OFAS de l'arrêté fédéral du 19 juin 1992 concernant l'amélioration des prestations de l'AVS et de l'AI, ainsi que leur financement (RS 1992 1982) et consacrée par cet organisme au ch. 6014 de la Circulaire II concernant le calcul des rentes des cas de mutations ou de successions, il apparaît néanmoins que cette pratique ne revêtait pas à l'époque le caractère manifestement erroné exigé par la loi et la jurisprudence dès lors que l'utilité de recourir contre la décision dont elle demande la reconsidération n'a pas semblé évident à la recourante, que l'arrêté fédéral du 19 juin 1992 a nécessité une interprétation par des juristes spécialisés en matière d'assurances sociales et que le Tribunal fédéral a produit ses conclusions au terme de plus de dix pages d'analyse. Le recours doit donc être rejeté sur ce point.</w:t>
      </w:r>
    </w:p>
    <w:p>
      <w:r>
        <w:rPr>
          <w:b/>
        </w:rPr>
        <w:t>E. 4</w:t>
      </w:r>
    </w:p>
    <w:p>
      <w:r>
        <w:t>L'intéressée soutient enfin que le changement de jurisprudence intervenu en 2000 constitue un fait nouveau justifiant la révision de la décision du 15 avril 1997.</w:t>
      </w:r>
    </w:p>
    <w:p>
      <w:r>
        <w:rPr>
          <w:b/>
        </w:rPr>
        <w:t>E. 4.1</w:t>
      </w:r>
    </w:p>
    <w:p>
      <w:r>
        <w:t>Selon l' art. 53 al. 1 LPGA , les décisions formellement passées en force sont soumises à révision si l'assuré ou l'assureur découvre subséquemment des faits nouveaux importants ou trouve des nouveaux moyens de preuve qui ne pouvaient être produits auparavant. Sont nouveaux, au sens de cette disposition, les faits qui se sont produits jusqu'au moment où des allégations de faits étaient encore recevables dans la procédure principale, mais qui n'étaient pas connus du requérant malgré toute sa diligence ( ATF 127 V 353 consid. 5b p. 358 et les références; arrêt du Tribunal fédéral 9C_371/2008 du 2 février 2009 consid. 2.3).</w:t>
      </w:r>
    </w:p>
    <w:p>
      <w:r>
        <w:rPr>
          <w:b/>
        </w:rPr>
        <w:t>E. 4.2</w:t>
      </w:r>
    </w:p>
    <w:p>
      <w:r>
        <w:t>En l'occurrence, même s'il est douteux que l' ATF 126 V 226 soit un fait nouveau dans la mesure où celui-ci ne fait qu'interpréter un ensemble de faits déjà connus en 1997, l'arrêt mentionné a été rendu le 9 août 2000, soit à un moment où les allégations de faits n'étaient de toute façon depuis longtemps plus recevables dans la procédure principale. Le recours doit donc être rejeté sur ce point également.</w:t>
      </w:r>
    </w:p>
    <w:p>
      <w:r>
        <w:rPr>
          <w:b/>
        </w:rPr>
        <w:t>E. 5</w:t>
      </w:r>
    </w:p>
    <w:p>
      <w:r>
        <w:t>Vu l'issue du litige, les frais de judiciaire sont mis à la charge de la recourante ( art. 66 al. 1 LTF ) qui ne peut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