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9C_510/2018 vom 7. September 2018</w:t>
      </w:r>
    </w:p>
    <w:p>
      <w:r>
        <w:t>Bundesgericht, 2018-09-07, DE</w:t>
      </w:r>
    </w:p>
    <w:p>
      <w:r>
        <w:rPr>
          <w:b/>
        </w:rPr>
        <w:t xml:space="preserve">Quelle: </w:t>
      </w:r>
      <w:r>
        <w:t>https://mcp.opencaselaw.ch/entscheid/bger_9C_510_2018</w:t>
      </w:r>
    </w:p>
    <w:p>
      <w:r>
        <w:t>FR: TF 9C_510/2018 du 7 septembre 2018</w:t>
      </w:r>
    </w:p>
    <w:p>
      <w:r>
        <w:t>IT: TF 9C_510/2018 del 7 settembre 2018</w:t>
      </w:r>
    </w:p>
    <w:p>
      <w:pPr>
        <w:pStyle w:val="Heading2"/>
      </w:pPr>
      <w:r>
        <w:t>Volltext</w:t>
      </w:r>
    </w:p>
    <w:p>
      <w:r>
        <w:t>Bundesgericht</w:t>
      </w:r>
    </w:p>
    <w:p>
      <w:r>
        <w:t>Tribunal fédéral</w:t>
      </w:r>
    </w:p>
    <w:p>
      <w:r>
        <w:t>Tribunale federale</w:t>
      </w:r>
    </w:p>
    <w:p>
      <w:r>
        <w:t>Tribunal federal</w:t>
      </w:r>
    </w:p>
    <w:p>
      <w:r>
        <w:t>9C_510/2018</w:t>
      </w:r>
    </w:p>
    <w:p>
      <w:r>
        <w:t>Urteil vom 7. September 2018</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 des Bundesverwaltungsgerichts vom 20. Juni 2018 (C-2619/2018).</w:t>
      </w:r>
    </w:p>
    <w:p>
      <w:r>
        <w:t>Nach Einsicht</w:t>
      </w:r>
    </w:p>
    <w:p>
      <w:r>
        <w:t>in die Verfügung der Schweizerischen Ausgleichskasse (SAK) vom 7. Juli 2017, mit welcher A.________ eine Altersrente von monatlich Fr. 80.- zugesprochen wurde,</w:t>
      </w:r>
    </w:p>
    <w:p>
      <w:r>
        <w:t>in den Einspracheentscheid ("Nichteintretensverfügung") vom 6. April 2018, mit dem die SAK auf die Einsprache des A.________ nicht eintrat, weil er diese trotz ausdrücklicher Aufforderung nicht unterschrieben habe,</w:t>
      </w:r>
    </w:p>
    <w:p>
      <w:r>
        <w:t>in den Entscheid des Bundesverwaltungsgerichts vom 20. Juni 2018, mit dem es die Beschwerde gegen den Einspracheentscheid vom 6. April 2018 abwies,</w:t>
      </w:r>
    </w:p>
    <w:p>
      <w:r>
        <w:t>in die dagegen erhobene Beschwerde des A.________ vom 9. Juli 2018 (Poststempel),</w:t>
      </w:r>
    </w:p>
    <w:p>
      <w:r>
        <w:t>in die Mitteilung des Bundesgerichts vom 17. Juli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das Verfahren in der Sprache des angefochtenen Entscheides geführt und das Urteil in Deutsch ausgefertigt wird ( Art. 54 Abs. 1 BGG ; in BGE 136 IV 88 nicht publizierte E. 1 des Urteils 1C_163/2010 vom 13. April 2010; Urteil 8C_413/2012 vom 22. August 2012 E. 1 mit weiteren Hinweisen),</w:t>
      </w:r>
    </w:p>
    <w:p>
      <w:r>
        <w:t>dass keine weitere Eingabe des Beschwerdeführers eingegangen ist, und auf die Rückweisung der in Englisch verfassten Beschwerde zur Übersetzung verzichtet werden kann (vgl. Art. 42 Abs. 1 und 6 BGG ),</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der Beschwerdeführer mit keinem Wort auf den Entscheid des Bundesverwaltungsgerichts vom 20. Juni 2018 eingeht, und seinen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die Eingabe des Beschwerdeführers daher den inhaltlichen Mindestanforderungen an eine Beschwerde offensichtlich nicht genügt,</w:t>
      </w:r>
    </w:p>
    <w:p>
      <w:r>
        <w:t>dass deshalb im vereinfachten Verfahren nach Art. 108 Abs. 1 lit. b BGG auf die Beschwerde nicht einzutreten ist,</w:t>
      </w:r>
    </w:p>
    <w:p>
      <w:r>
        <w:t>dass es im Übrigen im Ermessen der SAK steht, die (nicht gerichtlich beurteilte) Verfügung vom 7. Juli 2017 in Wiederwägung zu ziehen, falls die Voraussetzungen von Art. 53 Abs. 2 ATSG erfüllt sind,</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7. September 2018</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