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510/2008 vom 23. März 2009</w:t>
      </w:r>
    </w:p>
    <w:p>
      <w:r>
        <w:t>Bundesgericht, 2009-03-23, FR</w:t>
      </w:r>
    </w:p>
    <w:p>
      <w:r>
        <w:rPr>
          <w:b/>
        </w:rPr>
        <w:t xml:space="preserve">Quelle: </w:t>
      </w:r>
      <w:r>
        <w:t>https://mcp.opencaselaw.ch/entscheid/bger_9C_510_2008</w:t>
      </w:r>
    </w:p>
    <w:p>
      <w:r>
        <w:t>FR: TF 9C 510/2008 du 23 mars 2009</w:t>
      </w:r>
    </w:p>
    <w:p>
      <w:r>
        <w:t>IT: TF 9C 510/2008 del 23 marzo 2009</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L'office recourant estime que le Tribunal cantonal des assurances sociales a violé le droit fédéral en n'appliquant pas, dans le cas d'espèce, la méthode générale de comparaison des revenus pour fixer le degré d'invalidité de l'assuré. Il ressortait en effet des données comptables versées au dossier que le cabinet de l'assuré avait pu, malgré l'état de santé de l'assuré, réaliser un bénéfice comparable, sinon supérieur, à celui dégagé avant la survenance de l'atteinte à la santé. Le Tribunal cantonal des assurances sociales aurait fait preuve d'arbitraire en fixant la capacité résiduelle de travail et de gain sur la base de l'évolution des rendez-vous professionnels de l'assuré entre 1997 et 2006, alors même que l'assuré ne subissait durant cette période aucune perte de gain significative. Dans la mesure où toutefois les renseignements médicaux étaient obsolètes et en l'absence de documents comptables postérieurs à 2005, il était impossible de déterminer si l'atteinte à la santé de l'assuré entraînait actuellement une incapacité de travail ayant des effets sur la capacité de gain, ce qui justifiait de lui renvoyer la cause pour instruction complémentaire.</w:t>
      </w:r>
    </w:p>
    <w:p>
      <w:r>
        <w:rPr>
          <w:b/>
        </w:rPr>
        <w:t>E. 3.1</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28 al. 2 LAI [dans sa teneur en vigueur jusqu'au 31 décembre 2007, applicable en l'espèce] en corrélation avec l' art. 16 LPGA ).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313 consid. 3a et les références). Si l'on ne peut déterminer ou évaluer sûrement les deux revenus en cause, il faut, en s'inspirant de la méthode spécifique pour personnes sans activité lucrative ( art. 28 al. 2bis LAI en corrélation avec les art. 27 RAI et 8 al. 3 LPGA [dans leur teneur en vigueur jusqu'au 31 décembre 2007]),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 ATF 128 V 29 consid. 1 p. 30 et les références).</w:t>
      </w:r>
    </w:p>
    <w:p>
      <w:r>
        <w:rPr>
          <w:b/>
        </w:rPr>
        <w:t>E. 3.2</w:t>
      </w:r>
    </w:p>
    <w:p>
      <w:r>
        <w:t>La comparaison des résultats d'exploitation réalisés dans une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I 83/97 du 16 octobre 1997 consid. 2c, in VSI 1998 p. 121, et I 432/97 du 30 mars 1998 consid. 4a, in VSI 1998 p. 255)</w:t>
      </w:r>
    </w:p>
    <w:p>
      <w:r>
        <w:rPr>
          <w:b/>
        </w:rPr>
        <w:t>E. 4.1</w:t>
      </w:r>
    </w:p>
    <w:p>
      <w:r>
        <w:t>Sur le plan médical, le Tribunal cantonal des assurances sociales a constaté que l'assuré était incapable de travailler à 50 % depuis le mois de mars 1998 et à 100 % depuis l'automne 2002. Il ressortait néanmoins du dossier, notamment de l'audition du médecin traitant ainsi que des agendas produits, que l'assuré avait maintenu en dernier lieu une activité professionnelle réduite de l'ordre de 10 à 20 %.</w:t>
      </w:r>
    </w:p>
    <w:p>
      <w:r>
        <w:rPr>
          <w:b/>
        </w:rPr>
        <w:t>E. 4.2</w:t>
      </w:r>
    </w:p>
    <w:p>
      <w:r>
        <w:t>Au moment de déterminer la répercussion de ces incapacités de travail sur la capacité de gain de l'assuré, le Tribunal cantonal des assurances sociales a considéré que la méthode de comparaison des revenus était tout à fait inadéquate dans le cas d'espèce, dans la mesure où les comptes de l'entreprise ne permettaient pas de déduire quelle était la réelle diminution du gain généré par l'activité de l'assuré. La juridiction cantonale a évoqué la possibilité de renvoyer la cause à l'office AI pour qu'il applique la procédure extraordinaire d'évaluation de l'invalidité, laquelle avait l'avantage de prendre en compte l'activité de l'assuré uniquement, et non de l'entreprise en général. Analysant l'évolution des rendez-vous de 1997 à 2006, elle a toutefois considéré qu'il était possible de déterminer la perte de gain de l'assuré en évaluant la proportion entre l'activité antérieure à l'atteinte à la santé (20 à 25 massages par jour, 5 jours par semaine) et celle développée à ce jour (4 à 5 massages par jour, 2 à 3 jours par semaine). A son avis, le résultat n'aurait d'ailleurs guère été différent en procédant à une comparaison des honoraires encaissés personnellement par l'assuré au cours de cette période.</w:t>
      </w:r>
    </w:p>
    <w:p>
      <w:r>
        <w:rPr>
          <w:b/>
        </w:rPr>
        <w:t>E. 5</w:t>
      </w:r>
    </w:p>
    <w:p>
      <w:r>
        <w:t>En l'occurrence, il n'y a pas lieu de s'écarter de la solution retenue par le Tribunal cantonal des assurances sociales.</w:t>
      </w:r>
    </w:p>
    <w:p>
      <w:r>
        <w:rPr>
          <w:b/>
        </w:rPr>
        <w:t>E. 5.1</w:t>
      </w:r>
    </w:p>
    <w:p>
      <w:r>
        <w:t>Les bilans et comptes d'exploitation de l'entreprise de l'assuré ne peuvent constituer une base valable pour évaluer l'incapacité de gain de l'assuré. Comme l'ont souligné les premiers juges, les données comptables ne permettent pas de distinguer la part du revenu qui résulte exclusivement de la prestation de travail de l'assuré de celle qu'il faut attribuer à des facteurs extérieurs. En tant que le cabinet de l'assuré emploie plusieurs collaborateurs qui contribuent notablement au chiffre d'affaires et au bénéfice d'exploitation de celui-ci, il est en effet impossible de tirer de ces chiffres une appréciation pertinente des effets sur la capacité de gain de l'assuré de la diminution de sa capacité de rendement due à l'invalidité. En tout état de cause, l'incapacité de gain de l'assuré ne saurait se confondre avec la diminution du bénéfice d'exploitation de son entreprise, dans la mesure où un tel raisonnement fait fi des circonstances - étrangères à l'invalidité - qui influencent nécessairement le chiffre d'affaires d'une entreprise du type et de la taille de celle de l'assuré, telles que notamment l'organisation interne ou le développement de la clientèle.</w:t>
      </w:r>
    </w:p>
    <w:p>
      <w:r>
        <w:rPr>
          <w:b/>
        </w:rPr>
        <w:t>E. 5.2</w:t>
      </w:r>
    </w:p>
    <w:p>
      <w:r>
        <w:t>Dans le cas particulier, le Tribunal cantonal des assurances sociales a privilégié une approche pragmatique de la situation en examinant l'évolution des rendez-vous de l'assuré telle qu'elle ressortait des agendas versés en cause. Cette manière de faire, en tant qu'elle compare l'activité déployée par l'assuré avant et après la survenance de l'invalidité, partant l'évolution des revenus liés à l'activité propre de l'assuré, est assimilable à une comparaison en pour-cent. La méthode choisie par la juridiction cantonale peut d'autant plus être validée en l'espèce que le résultat auquel celle-ci a abouti coïncide pour l'essentiel avec les constatations médicales retenues. Le point de savoir s'il eût été préférable de renvoyer la cause à l'office recourant pour qu'il applique la méthode extraordinaire d'évaluation de l'invalidité, ainsi que le suggère implicitement l'OFAS, peut demeurer indécis. Faute d'indiquer en quoi l'approche suivie par la juridiction cantonale ne tiendrait pas compte à leur juste valeur des circonstances concrètes du cas d'espèce, l'office AI et l'OFAS ne parviennent pas à démontrer que le jugement entrepris violerait le droit fédéral.</w:t>
      </w:r>
    </w:p>
    <w:p>
      <w:r>
        <w:rPr>
          <w:b/>
        </w:rPr>
        <w:t>E. 5.3</w:t>
      </w:r>
    </w:p>
    <w:p>
      <w:r>
        <w:t>A défaut d'éléments plaidant en faveur d'une évolution favorable ou défavorable de l'état de santé du recourant, il n'y a pas lieu non plus de renvoyer la cause à l'office AI pour qu'il procède à un complément d'instruction.</w:t>
      </w:r>
    </w:p>
    <w:p>
      <w:r>
        <w:rPr>
          <w:b/>
        </w:rPr>
        <w:t>E. 6</w:t>
      </w:r>
    </w:p>
    <w:p>
      <w:r>
        <w:t>Mal fondé, le recours doit être rejeté. Vu l'issue du litige, les frais et les dépens de la procédure sont mis à la charge du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