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9C_50/2010 vom 6. August 2010</w:t>
      </w:r>
    </w:p>
    <w:p>
      <w:r>
        <w:t>Bundesgericht, 2010-08-06, FR</w:t>
      </w:r>
    </w:p>
    <w:p>
      <w:r>
        <w:rPr>
          <w:b/>
        </w:rPr>
        <w:t xml:space="preserve">Quelle: </w:t>
      </w:r>
      <w:r>
        <w:t>https://mcp.opencaselaw.ch/entscheid/bger_9C_50_2010</w:t>
      </w:r>
    </w:p>
    <w:p>
      <w:r>
        <w:t>FR: TF 9C_50/2010 du 6 août 2010</w:t>
      </w:r>
    </w:p>
    <w:p>
      <w:r>
        <w:t>IT: TF 9C_50/2010 del 6 agosto 2010</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w:t>
      </w:r>
    </w:p>
    <w:p>
      <w:r>
        <w:t>L'office recourant estime que la reconnaissance par les premiers juges du droit de l'intimé à une rente entière d'invalidité à compter du 1er juin 2008 viole le droit fédéral. Il reproche plus particulièrement à la juridiction cantonale d'avoir considéré que le vieillissement de l'assuré entre la date du dépôt de la requête de prestations (55 ans en 2003) et celle de la décision litigieuse (60 ans en 2008) justifiait le passage de la demi-rente à la rente entière. Il soutient concrètement que l'âge ne constitue pas un motif de révision permettant d'aboutir à cette conclusion.</w:t>
      </w:r>
    </w:p>
    <w:p>
      <w:r>
        <w:rPr>
          <w:b/>
        </w:rPr>
        <w:t>E. 3</w:t>
      </w:r>
    </w:p>
    <w:p>
      <w:r>
        <w:t>Selon la jurisprudence, les circonstances prévalant lors de la naissance du droit à la rente sont essentielles pour procéder à une comparaison des revenus et, par conséquent, pour déterminer le taux d'invalidité; il convient toutefois également de prendre en compte les modifications subséquentes survenant jusqu'à la date de la décision et pouvant influencer le droit mentionné (cf. ATF 129 V 222 consid. 4.1 p. 223; 128 V 174 consid. 4a p. 174 s.). Si les premiers juges ont en l'espèce confirmé l'appréciation de l'administration pour la période comprise entre la naissance du droit à la rente le 27 novembre 2003 et la décision litigieuse du 23 mai 2008, dès lors qu'ils ont admis que l'état de santé de l'assuré et son impact sur la capacité de travail de ce dernier légitimaient alors l'octroi d'une demi-rente, ils ont en revanche estimé que l'écoulement du temps jusqu'à la décision sur opposition constituait une de ces modifications ultérieures à la naissance du droit mais antérieures à la décision litigieuse dont il fallait tenir compte et qui, concrètement, justifiait le passage de la demi-rente à la rente entière. Ce faisant, ils ont donc constaté le droit de l'intimé à une rente échelonnée dans le temps.</w:t>
      </w:r>
    </w:p>
    <w:p>
      <w:r>
        <w:rPr>
          <w:b/>
        </w:rPr>
        <w:t>E. 4</w:t>
      </w:r>
    </w:p>
    <w:p>
      <w:r>
        <w:t>Le bien-fondé d'une décision d'octroi d'une rente échelonnée dans le temps, à l'instar des rentes temporaires, doit être examiné à l'aune des conditions d'une révision du droit à la rente au sens de l' art. 17 al. 1 LPGA (cf. notamment arrêts 9C_718/2009 du 4 février 2010 consid. 1.2; 8C_104/2009 du 14 décembre 2009 consid. 2; 8C_180/2009 du 8 décembre 2009 consid. 3; 9C_651/2008 du 9 octobre 2009 consid. 2; 9C_931/2008 du 8 mai 2009 consid. 2; 9C_391/2008 du 12 mars 2009 consid. 2.2; I 53/2007 du 22 mars 2007 consid. 4.2 et I 286/05 du 26 avril 2006 consid. 1.1 et les références) selon lequel celle-ci est d'office ou sur demande révisée pour l'avenir (augmentée, réduite ou supprimée) si le taux d'invalidité du bénéficiaire de rente subit une modification notable.</w:t>
      </w:r>
    </w:p>
    <w:p>
      <w:r>
        <w:rPr>
          <w:b/>
        </w:rPr>
        <w:t>E. 5</w:t>
      </w:r>
    </w:p>
    <w:p>
      <w:r>
        <w:t>Le point de savoir si un assuré à droit à une rente ou si un assuré déjà bénéficiaire d'une rente partielle a droit à une augmentation de celle-ci s'apprécie différemment. Dans le premier cas, il s'agit effectivement de déterminer l'impact concret d'une atteinte à la santé sur la capacité de travail d'un assuré et les conséquences économiques qui en découlent au moment de la naissance du droit à la rente tandis que, dans le second, il s'agit d'examiner si un changement de circonstances important susceptible d'influencer le taux d'invalidité évalué antérieurement s'est produit. Si l'âge exerce une influence certaine dans l'évaluation du degré d'invalidité, dès lors qu'il intervient indirectement comme critère de réduction du revenu d'invalide (cf. ATF 126 V 75 consid. 5b/aa-cc p. 79) et directement lorsqu'il s'agit d'appréhender la situation particulière d'un assuré qui a atteint un «âge avancé» au moment de la naissance de droit (cf. notamment arrêts 9C_918/2008 du 28 mai 2009 consid. 4.2.2, 9C_437/2008 du 19 mars 2009 consid. 4 in SVR 2009 IV n° 35 p. 97 et I 819/04 du 27 mai 2005 consid. 2.2 et les références), tel ne saurait être le cas lors de l'examen des conditions d'une révision. En effet, l'écoulement du temps - qui est le seul motif de révision invoqué par la juridiction cantonale en l'occurrence, qui ne constitue pas une atteinte à la santé au sens de l' art. 3 et 4 LPGA (cf. arrêt 9C_844/2009 du 29 mars 2010 consid. 5) et qui est un paramètre inéluctable pour tous les assurés - ne peut en soi légitimer l'augmentation d'une rente, sinon tout bénéficiaire de rentes partielles approchant les soixante ans pourrait automatiquement exiger la révision de son droit et prétendre une rente entière. Le recours est donc bien fondé de sorte que le jugement cantonal doit être annulé et la décision administrative confirmée.</w:t>
      </w:r>
    </w:p>
    <w:p>
      <w:r>
        <w:rPr>
          <w:b/>
        </w:rPr>
        <w:t>E. 6</w:t>
      </w:r>
    </w:p>
    <w:p>
      <w:r>
        <w:t>Vu l'issue du litige, les frais judiciaires sont mis à la charge de l'intimé ( art. 66 al. 1 LTF ) qui ne saurait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