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9C_508/2023 vom 22. November 2023</w:t>
      </w:r>
    </w:p>
    <w:p>
      <w:r>
        <w:t>Bundesgericht, 2023-11-22, DE</w:t>
      </w:r>
    </w:p>
    <w:p>
      <w:r>
        <w:rPr>
          <w:b/>
        </w:rPr>
        <w:t xml:space="preserve">Quelle: </w:t>
      </w:r>
      <w:r>
        <w:t>https://mcp.opencaselaw.ch/entscheid/bger_9C_508_2023</w:t>
      </w:r>
    </w:p>
    <w:p>
      <w:r>
        <w:t>FR: TF 9C_508/2023 du 22 novembre 2023</w:t>
      </w:r>
    </w:p>
    <w:p>
      <w:r>
        <w:t>IT: TF 9C_508/2023 del 22 novembre 2023</w:t>
      </w:r>
    </w:p>
    <w:p>
      <w:pPr>
        <w:pStyle w:val="Heading2"/>
      </w:pPr>
      <w:r>
        <w:t>Erwägungen</w:t>
      </w:r>
    </w:p>
    <w:p>
      <w:r>
        <w:rPr>
          <w:b/>
        </w:rPr>
        <w:t>E. 1</w:t>
      </w:r>
    </w:p>
    <w:p>
      <w:r>
        <w:t>Streitig und zu prüfen ist, ob die vorinstanzliche Neufestsetzung der Parteientschädigung im Beschluss vom 17. August 2023 auf Fr. 1'100.- (anstelle der im aufgehobenen Urteil vom 20. Dezember 2021 zugesprochenen Fr. 1'200.-) Bundesrecht verletzt ( Art. 95 lit. a BGG ).</w:t>
      </w:r>
    </w:p>
    <w:p>
      <w:r>
        <w:rPr>
          <w:b/>
        </w:rPr>
        <w:t>E. 2.1</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Das in diesem Bereich anwendbare kantonale Recht (Art. 61 Ingress ATSG) sieht in § 34 des zürcherischen Gesetzes vom 7. März 1993 über das Sozialversicherungsgericht (GSVGer; LS 212.81) vor, dass die unterliegende Partei zum Ersatz der Parteikosten verpflichtet werden kann, wenn die obsiegende Partei einen entsprechenden Antrag stellt oder dies von anderen Gesetzen so vorgesehen ist (Abs. 1). Die Höhe der gerichtlich festzusetzenden Entschädigung bemisst sich nach der Bedeutung der Streitsache, der Schwierigkeit des Prozesses und dem Mass des Obsiegens, jedoch ohne Rücksicht auf den Streitwert (Abs. 2).</w:t>
      </w:r>
    </w:p>
    <w:p>
      <w:r>
        <w:rPr>
          <w:b/>
        </w:rPr>
        <w:t>E. 2.2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(Urteile 9C_455/2022 vom 13. November 2023 E. 11.3.1; 9C_412/2015 vom 23. Oktober 2015 E. 5.1).</w:t>
      </w:r>
    </w:p>
    <w:p>
      <w:r>
        <w:rPr>
          <w:b/>
        </w:rPr>
        <w:t>E. 3.1</w:t>
      </w:r>
    </w:p>
    <w:p>
      <w:r>
        <w:t>Vorab zu prüfen ist die formelle Rüge der Ausgleichskasse, wonach das kantonale Gericht im Beschluss vom 17. August 2023 ihren Gehörsanspruch ( Art. 29 Abs. 2 BV ) verletzt habe, indem es seiner Begründungspflicht nicht nachgekommen sei.</w:t>
      </w:r>
    </w:p>
    <w:p>
      <w:r>
        <w:rPr>
          <w:b/>
        </w:rPr>
        <w:t>E. 3.2</w:t>
      </w:r>
    </w:p>
    <w:p>
      <w:r>
        <w:t>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148 III 30 E. 3.1 mit weiteren Hinweisen).</w:t>
      </w:r>
    </w:p>
    <w:p>
      <w:r>
        <w:rPr>
          <w:b/>
        </w:rPr>
        <w:t>E. 3.3</w:t>
      </w:r>
    </w:p>
    <w:p>
      <w:r>
        <w:t>In ihrem Beschluss vom 17. August 2023 erachtete es die Vorinstanz als gerechtfertigt, der Rasier Operations B.V. zulasten der Ausgleichskasse eine gegenüber der ursprünglich festgesetzten leicht (um Fr. 100.-) reduzierte Parteientschädigung zuzusprechen, weil das bundesgerichtliche Urteil für die Ausgleichskasse im Ergebnis nur marginal besser ausgefallen sei als das mit ihm aufgehobene kantonale Urteil vom 20. Dezember 2021. Auch wenn die (sich auf diesen einzigen Satz beschränkende) Begründung äussert knapp ausfiel, waren die Überlegungen, von welchen sich die Vorinstanz leiten liess, ersichtlich. Dadurch war die Ausgleichskasse in der Lage, den Beschluss sachgerecht anzufechten. Eine Verletzung des rechtlichen Gehörs liegt mithin nicht vor.</w:t>
      </w:r>
    </w:p>
    <w:p>
      <w:r>
        <w:rPr>
          <w:b/>
        </w:rPr>
        <w:t>E. 4.1</w:t>
      </w:r>
    </w:p>
    <w:p>
      <w:r>
        <w:t>In materieller Hinsicht macht die Ausgleichskasse geltend, die Vorinstanz habe mit der Neufestsetzung der Parteientschädigung auf Fr. 1'100.- sowohl Art. 61 lit. g ATSG verletzt als auch § 34 GSVGer willkürlich angewendet. Die Voraussetzungen für die Zusprache einer Parteientschädigung seien nicht erfüllt, weil die Rasier Operatins B.V. nicht mindestens teilweise obsiegt habe. Demgegenüber erachtet die Rasier Operations B.V. den vorinstanzlichen Beschluss für richtig. Sie weist darauf hin, dass sie mit ihrer Beschwerde betreffend die Höhe der Beitragsforderung durchgedrungen sei.</w:t>
      </w:r>
    </w:p>
    <w:p>
      <w:r>
        <w:rPr>
          <w:b/>
        </w:rPr>
        <w:t>E. 4.2</w:t>
      </w:r>
    </w:p>
    <w:p>
      <w:r>
        <w:t>Die Rasier Operations B.V. erneuerte im letztinstanzlichen Prozess, der zum Urteil vom 16. Februar 2023 führte, das vor dem kantonalen Gericht gestellte Rechtsbegehren und unterlag mit sämtlichen Anträgen (insbesondere demjenigen zum Beitragsstatut), indem diese abgewiesen wurden, soweit darauf einzutreten war. Von der vorinstanzlichen Gutheissung ihrer Beschwerde blieb einzig übrig, dass sie insofern erfolgreich gegen den Einspracheentscheid opponiert hatte, als sich eine Neufestsetzung der geschuldeten Beiträge als unumgänglich erwies. Angesichts der besonderen Umstände des vorliegenden Falles ist es allerdings nicht der Ausgleichskasse anzulasten, dass der Einspracheentscheid in betraglicher Hinsicht nicht standhielt. Vielmehr ist es das Verschulden der Rasier Operations B.V., denn diese weigerte sich in Verletzung ihrer Mitwirkungspflicht, Angaben zu liefern zu den Zahlungen, die sie an die Fahrer geleistet hatte, so dass der Kasse nichts anderes übrigblieb, als die ausgerichteten Entgelte schätzungsweise zu ermitteln, um die drohende Verwirkung gemäss Art. 16 Abs. 1 AHVG abzuwenden (vgl. dazu Urteil 9C_71/2022 und 9C_75/2022 vom 16. Februar 2022 E. 11). Mit anderen Worten verhalf der Raser Operations B.V. letztlich ihr eigenes unkooperatives Verhalten zu diesem einzigen Teilerfolg im kantonalen Prozess. Da ihr teilweises Obsiegen mithin auf ihre eigene fehlende Mitwirkung zurückzuführen ist, kann sie dafür keine Parteientschädigung beanspruchen, dies entsprechend dem Verursacherprinzip, wonach unnötige Kosten zu bezahlen hat, wer sie verursacht hat (SVR 2021 UV Nr. 34 S. 154, 8C_672/2020 E. 5.2; 2018 IV Nr. 80 S. 263, 8C_304/2018 E. 4.3.2; Urteil 9C_455/2022 vom 13. November 2023 E. 11.3.1; je mit Hinweisen; vgl. auch § 6 Abs. 2 der zürcherischen Verordnung vom 12. April 2011 über die Gebühren, Kosten und Entschädigungen vor dem Sozialversicherungsgericht [GebV SVGer; LS 212.812]).</w:t>
      </w:r>
    </w:p>
    <w:p>
      <w:r>
        <w:rPr>
          <w:b/>
        </w:rPr>
        <w:t>E. 4.3</w:t>
      </w:r>
    </w:p>
    <w:p>
      <w:r>
        <w:t>Wie die Ausgleichskasse zutreffend ergänzt, trifft im Übrigen auch die Bemerkung des kantonalen Gerichts nicht zu, wonach sein Urteil für die Ausgleichskasse nur marginal besser ausgefallen sei, griff das Bundesgericht doch in wesentlichen Punkten korrigierend ein: Vorab legte es die Arbeitgebereigenschaft der Rasier Operations B.V. für die UberPop-Fahrer definitiv fest, während es das kantonale Gericht für unklar gehalten hatte, ob diese Eigenschaft der Rasier Operations B.V. oder der Uber B.V. zukomme. Weiter folgte es der Vorinstanz auch nicht, soweit sie die Ausgleichskasse verpflichtet hatte, die Beziehung der einzelnen Fahrer zur Rasier Operations B.V. individuell zu prüfen. Und schliesslich bejahte es die Existenz einer Betriebsstätte in den Räumlichkeiten der Uber Switzerland GmbH, während die Vorinstanz auf den entsprechenden Antrag nicht eingetreten war (vgl. zu diesen Punkten Urteil 9C_71/2022 und 9C_75/2022 vom 16. Februar 2023 E. 8-10). Ohnehin aber ist die von der Vorinstanz als zentral betrachtete Frage, inwieweit ihr Urteil abgeändert wurde, für den Anspruch auf eine Parteientschädigung nur insoweit von Belang, als daraus etwas für den (in E. 4.2 hievor abgehandelten) Umfang des Obsiegens abgeleitet werden kann.</w:t>
      </w:r>
    </w:p>
    <w:p>
      <w:r>
        <w:rPr>
          <w:b/>
        </w:rPr>
        <w:t>E. 4.4</w:t>
      </w:r>
    </w:p>
    <w:p>
      <w:r>
        <w:t>Zusammenfassend ergibt sich, dass der vorinstanzliche Beschluss vom 17. August 2023, mit welchem der Rasier Operations B.V. eine Parteientschädigung von Fr. 1'100.- zulasten der Ausgleichskasse zugesprochen wurde, als bundesrechtswidrig aufzuheben ist.</w:t>
      </w:r>
    </w:p>
    <w:p>
      <w:r>
        <w:rPr>
          <w:b/>
        </w:rPr>
        <w:t>E. 5</w:t>
      </w:r>
    </w:p>
    <w:p>
      <w:r>
        <w:t>Entsprechend dem Prozessausgang hat die unterliegende Rasier Operations B.V.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