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9C_508/2015 vom 4. März 2016</w:t>
      </w:r>
    </w:p>
    <w:p>
      <w:r>
        <w:t>Bundesgericht, 2016-03-04, FR</w:t>
      </w:r>
    </w:p>
    <w:p>
      <w:r>
        <w:rPr>
          <w:b/>
        </w:rPr>
        <w:t xml:space="preserve">Quelle: </w:t>
      </w:r>
      <w:r>
        <w:t>https://mcp.opencaselaw.ch/entscheid/bger_9C_508_2015</w:t>
      </w:r>
    </w:p>
    <w:p>
      <w:r>
        <w:t>FR: TF 9C_508/2015 du 4 mars 2016</w:t>
      </w:r>
    </w:p>
    <w:p>
      <w:r>
        <w:t>IT: TF 9C_508/2015 del 4 marzo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w:t>
      </w:r>
    </w:p>
    <w:p>
      <w:r>
        <w:t>Le litige a pour objet la suppression, par la voie de la reconsidération, du droit aux moyens auxiliaires accordés le 14 juillet 2011.</w:t>
      </w:r>
    </w:p>
    <w:p>
      <w:r>
        <w:rPr>
          <w:b/>
        </w:rPr>
        <w:t>E. 2.1</w:t>
      </w:r>
    </w:p>
    <w:p>
      <w:r>
        <w:t>La juridiction cantonale a constaté que l'office intimé avait, en se fondant sur le rapport de la FSCMA, reconnu la nécessité de mettre à disposition les moyens auxiliaires demandés, sans chercher à éclaircir les divergences d'opinion entre les conclusions du docteur B.________ et celle des médecins du Centre suisse des paraplégiques de Nottwil. Or ces derniers médecins n'avaient fourni aucun élément médical nouveau établissant que l'état de santé du recourant s'était modifié, respectivement aggravé. Faute d'avoir procédé à une instruction médicale, c'était manifestement à tort que l'office intimé avait accordé des moyens auxiliaires, étant rappelé que le recourant était réputé, conformément à la décision du 10 décembre 2008 entrée en force, ne pas être invalide ou menacé d'une invalidité au sens de l' art. 8 al. 1 LAI . Par ailleurs, les avis médicaux versés au dossier, soit les rapports du docteur C.________ du 27 juin 2013 et du professeur D.________ du 7 juillet 2014, ne permettaient pas d'attester d'un changement de l'état de santé survenu entre temps qui justifierait, au jour de la reconsidération, l'octroi de moyens auxiliaires. En l'absence de trouble invalidant médicalement établi, il ne pouvait au final être reproché à l'office intimé d'avoir reconsidéré sa communication du 14 juillet 2011 et requis la restitution des moyens auxiliaires.</w:t>
      </w:r>
    </w:p>
    <w:p>
      <w:r>
        <w:rPr>
          <w:b/>
        </w:rPr>
        <w:t>E. 2.2</w:t>
      </w:r>
    </w:p>
    <w:p>
      <w:r>
        <w:t>Le recourant reproche implicitement à la juridiction cantonale d'avoir procédé à une constatation manifestement inexacte des faits pertinents, consécutive à une mauvaise appréciation des preuves. Il relève en substance que la juridiction cantonale ne pouvait se référer à l'expertise établie par le docteur B.________ pour refuser le droit à des moyens auxiliaires, dans la mesure où ce médecin ne s'était pas spécifiquement exprimé sur la question de la nécessité de tels moyens. Contrairement à ce qu'a retenu la juridiction cantonale, le docteur C.________ n'avait pas exprimé un avis différent de celui du docteur B.________ - le diagnostic ayant été confirmé -, mais simplement mis en évidence une incapacité dans les déplacements justifiant la mise à disposition d'un fauteuil roulant. Le fait qu'il disposât, selon le docteur B.________, d'une capacité de travail de 100 % ne permettait pas d'exclure l'existence d'un droit à des moyens auxiliaires. Ainsi que cela était confirmé par le docteur C.________ et le professeur D.________, il était dépendant des moyens auxiliaires litigieux pour exercer une activité lucrative de même que pour se déplacer à l'extérieur, établir des contacts avec son entourage ou développer son autonomie personnelle.</w:t>
      </w:r>
    </w:p>
    <w:p>
      <w:r>
        <w:rPr>
          <w:b/>
        </w:rPr>
        <w:t>E. 3</w:t>
      </w:r>
    </w:p>
    <w:p>
      <w:r>
        <w:t>Selon l' art. 53 al. 2 LPGA ,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9C_575/2007 du 18 octobre 2007 consid. 2.2 et les références).</w:t>
      </w:r>
    </w:p>
    <w:p>
      <w:r>
        <w:rPr>
          <w:b/>
        </w:rPr>
        <w:t>E. 4.1</w:t>
      </w:r>
    </w:p>
    <w:p>
      <w:r>
        <w:t>Selon l' art. 8 al. 1 LAI , les assurés invalides ou menacés d'une invalidité ( art. 8 LPGA )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droit à l'octroi de mesures médicales en cas d'infirmité congénitale et de moyens auxiliaires, quelles que soient les possibilités de réadaptation à la vie professionnelle ou à l'accomplissement de leurs travaux habituels ( art. 8 al. 2 LAI ).</w:t>
      </w:r>
    </w:p>
    <w:p>
      <w:r>
        <w:rPr>
          <w:b/>
        </w:rPr>
        <w:t>E. 4.2</w:t>
      </w:r>
    </w:p>
    <w:p>
      <w:r>
        <w:t>Aux termes de l' art. 21 LAI , l'assuré a droit, d'après une liste dressée par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établie par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w:t>
      </w:r>
    </w:p>
    <w:p>
      <w:r>
        <w:rPr>
          <w:b/>
        </w:rPr>
        <w:t>E. 4.3</w:t>
      </w:r>
    </w:p>
    <w:p>
      <w:r>
        <w:t>Comme il ressort du texte légal, l' art. 8 al. 2 LAI prévoit une exception à l'exigence posée à l'al. 1, selon laquelle les mesures de réadaptation doivent avoir pour but de rétablir, maintenir ou améliorer la capacité de gain ou la capacité d'accomplir les travaux habituels des assurés invalides ou menacés d'invalidité. A la différence des autres mesures de réadaptation, les mesures mentionnées à l' art. 8 al. 2 LAI ( art. 13 LAI [mesures médicales en cas d'infirmité congénitale] et art. 21 LAI [moyens auxiliaires]) sont octroyées indépendamment des possibilités de réadaptation à la vie professionnelle ou à l'accomplissement des travaux habituels. Cette exception ne modifie toutefois pas la condition selon laquelle le droit à des prestations de réadaptation suppose que l'assuré qui en bénéficie soit invalide ou menacé d'invalidité au sens de l' art. 8 al. 1 LAI . Mais la condition de l'invalidité s'apprécie alors indépendamment des possibilités de réadaptation professionnelle ou de l'accomplissement des travaux habituels, en fonction des buts spécifiques poursuivis par les mesures mentionnées. En ce qui concerne, en particulier, les moyens auxiliaires, la notion d'invalidité doit être comprise comme un empêchement à accomplir l'une des activités énumérées par l' art. 21 al. 1 LAI , respectivement l' art. 21 al. 2 LAI (arrêt I 382/83 du 22 mai 1984 consid. 1b, in RCC 1984 350; voir également arrêt 9C_615/2007 du 23 janvier 2008 consid. 5.2.2).</w:t>
      </w:r>
    </w:p>
    <w:p>
      <w:r>
        <w:rPr>
          <w:b/>
        </w:rPr>
        <w:t>E. 5.1</w:t>
      </w:r>
    </w:p>
    <w:p>
      <w:r>
        <w:t>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faits essentiels.</w:t>
      </w:r>
    </w:p>
    <w:p>
      <w:r>
        <w:rPr>
          <w:b/>
        </w:rPr>
        <w:t>E. 5.2</w:t>
      </w:r>
    </w:p>
    <w:p>
      <w:r>
        <w:t>Tel n'est pas le cas en l'espèce. Comme le relève à juste titre le recourant, la question qui se posait à l'office AI au moment de décider d'allouer les moyens auxiliaires litigieux portait sur le point de savoir s'il avait besoin de ces moyens pour se déplacer, établir des contacts avec son entourage ou développer son autonomie personnelle. La décision de l'office AI du 14 juillet 2011 reposait sur l'ordonnance établie par le Centre suisse des paraplégiques de Nottwil ainsi que sur le préavis de la FSCMA, lesquels n'avaient émis aucune réserve quant à la remise en prêt des moyens auxiliaires litigieux. Même si l'instruction aurait pu être complétée par l'apport de rapports médicaux complémentaires, il n'y a pas lieu de considérer, eu égard aux éléments à disposition, que l'office intimé a statué sur la base d'un dossier manifestement insuffisant ou lacunaire ou fait un usage manifestement erroné de son pouvoir d'appréciation. Les conditions requises pour procéder à la reconsidération de la décision du 14 juillet 2011 n'étaient ainsi pas remplies.</w:t>
      </w:r>
    </w:p>
    <w:p>
      <w:r>
        <w:rPr>
          <w:b/>
        </w:rPr>
        <w:t>E. 5.3</w:t>
      </w:r>
    </w:p>
    <w:p>
      <w:r>
        <w:t>Le raisonnement de la juridiction cantonale est fondé sur la prémisse erronée que le droit aux moyens auxiliaires litigieux était étroitement lié à la preuve d'une modification, respectivement d'une aggravation de l'état de santé du recourant depuis l'expertise du docteur B.________. Or, comme cela a été mentionné précédemment (consid. 4.3), les mesures visées à l' art. 8 al. 2 LAI n'ont pas pour but de rétablir, maintenir ou améliorer la capacité de gain ou la capacité d'accomplir les travaux habituels des assurés invalides ou menacés d'invalidité, mais de faciliter leur intégration sociale ( ATF 108 V 210 consid. 2 p. 214; voir également arrêt 9C_550/2012 du 13 juillet 2013 consid. 3, in SVR 2013 IV n° 39 p. 117; MEYER/REICHMUTH, Bundesgesetz über die Invalidenversicherung [IVG], 3e éd., 2014, n. 108 ad art. 4 LAI ). En l'occurrence, il n'est pas contesté que le recourant souffre d'un trouble dissociatif de conversion mixte. Si, comme l'a mis en évidence le docteur B.________ dans son expertise, cette affection n'est pas susceptible de restreindre la capacité de travail du recourant, elle n'en a pas moins des répercussions objectives sur sa capacité à se déplacer. Sans contester que le recourant pouvait se lever, être debout et se déplacer librement sur de courtes distances, le docteur C.________ a néanmoins souligné que ces éléments faisaient partie intégrante du tableau clinique de la maladie; selon ce médecin, il n'en demeurait pas moins que l'autonomie du recourant était sensiblement limitée et que l'usage d'une chaise roulante s'avérait indispensable pour lui permettre de continuer de participer pleinement à la vie sociale et professionnelle (rapport du 27 juin 2013). En l'absence d'avis médicaux contraires - le docteur B.________ ne s'est pas prononcé sur la question litigieuse -, il n'y a pas lieu de remettre en cause le bien-fondé de la remise au recourant des moyens auxiliaires litigieux.</w:t>
      </w:r>
    </w:p>
    <w:p>
      <w:r>
        <w:rPr>
          <w:b/>
        </w:rPr>
        <w:t>E. 6</w:t>
      </w:r>
    </w:p>
    <w:p>
      <w:r>
        <w:t>Le recours se révèle bien fondé. Vu l'issue du litige, les frais de justice seront supportés par l'office intimé qui succombe ( art. 66 al. 1 LTF ). Celui-ci est par ailleurs tenu de verser au recourant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