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9C_507/2008 vom 6. April 2009</w:t>
      </w:r>
    </w:p>
    <w:p>
      <w:r>
        <w:t>Bundesgericht, 2009-04-06, FR</w:t>
      </w:r>
    </w:p>
    <w:p>
      <w:r>
        <w:rPr>
          <w:b/>
        </w:rPr>
        <w:t xml:space="preserve">Quelle: </w:t>
      </w:r>
      <w:r>
        <w:t>https://mcp.opencaselaw.ch/entscheid/bger_9C_507_2008</w:t>
      </w:r>
    </w:p>
    <w:p>
      <w:r>
        <w:t>FR: TF 9C_507/2008 du 6 avril 2009</w:t>
      </w:r>
    </w:p>
    <w:p>
      <w:r>
        <w:t>IT: TF 9C_507/2008 del 6 aprile 2009</w:t>
      </w:r>
    </w:p>
    <w:p>
      <w:pPr>
        <w:pStyle w:val="Heading2"/>
      </w:pPr>
      <w:r>
        <w:t>Erwägungen</w:t>
      </w:r>
    </w:p>
    <w:p>
      <w:r>
        <w:rPr>
          <w:b/>
        </w:rPr>
        <w:t>E. 1</w:t>
      </w:r>
    </w:p>
    <w:p>
      <w:r>
        <w:t>Les recours en matière de droit public sont dirigés contre le même jugement. Il se justifie donc de joindre les causes et de les liquider dans un seul arrêt (cf. ATF 131 V 59 consid. 1 p. 60, 128 V 124 consid. 1 p. 126, 123 V 214 consid. 1 p. 215 et les références).</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3</w:t>
      </w:r>
    </w:p>
    <w:p>
      <w:r>
        <w:t>Entre autres griefs, le Service de la santé publique reproche à la juridiction cantonale d'avoir rendu un jugement dont le dispositif est «peu clair» et qui contient des «éléments contradictoires», raisons pour lesquelles il a d'ailleurs déposé une demande formelle d'interprétation auprès de ses auteurs. La caisse, qui ne conteste que sa condamnation au dépens de la procédure de première instance, relève également l'existence de contradictions ou d'imprécisions qui rendent l'acte attaqué incompréhensible.</w:t>
      </w:r>
    </w:p>
    <w:p>
      <w:r>
        <w:rPr>
          <w:b/>
        </w:rPr>
        <w:t>E. 4</w:t>
      </w:r>
    </w:p>
    <w:p>
      <w:r>
        <w:t>En l'occurrence, il apparaît notamment que le dispositif du jugement entrepris mentionne la réforme de «la» décision attaquée (ch. II), sans plus de précisions quant à la date ou l'origine de cette décision, alors que le recours était dirigé contre les décisions de l'assureur maladie et de l'autorité cantonale, que les premiers juges ont totalement éludé les questions de l'autorité de chose décidée de la décision du Service de la santé publique, contre laquelle il n'a pas été fait opposition dans le délai imparti à cet effet, ou d'une éventuelle restitution de ce délai, et que la juridiction cantonale semble dénier la qualité de partie à la caisse (consid. 1 du jugement cantonal), alors que le recours était principalement interjeté contre la décision sur opposition de cette dernière, que celle-ci figurait textuellement en qualité de partie dans le rubrum du jugement entrepris et que les dépens de la partie adverse lui ont été imputés solidairement avec l'autorité cantonale.</w:t>
      </w:r>
    </w:p>
    <w:p>
      <w:r>
        <w:t>S'il est vrai qu'un dispositif peu clair doit être interprété à la lumière des considérants de l'acte qui le contient (cf. arrêt du Tribunal fédéral 5C.122/2003 du 3 juillet 2003 consid. 1.3 et la référence), il apparaît en l'espèce qu'une telle interprétation n'apporte guère plus d'informations. Au contraire, elle ajoute même à la confusion si l'on considère que la décision litigieuse n'y est jamais mentionnée précisément, que l'argumentation au fond porte sur le caractère urgent de l'hospitalisation, sur lequel le Service de la santé publique ( art. 41 al. 3 LAMal ; ATF 130 V 215 ; Décret relatif à l'application dans le canton de Vaud de l' art. 41 al. 3 LAMal [RS VD 832.071]) est amené à se prononcer, et que la conclusion qui est déduite de cette argumentation, à savoir la condamnation de l'assureur maladie à prendre en charge le séjour hospitalier conformément au tarif applicable à la division commune de l'Hôpital X.________, n'est nullement motivée.</w:t>
      </w:r>
    </w:p>
    <w:p>
      <w:r>
        <w:t>Dans de telles circonstances confuses, il n'appartient pas au Tribunal fédéral, eu égard également à son pouvoir d'examen restreint, d'interpréter le raisonnement de l'instance inférieure pour reconstituer une motivation insuffisante ou tout simplement de pallier à l'absence de motivation de l'acte attaqué. Le défaut de motivation constaté revient en l'occurrence à violer le droit d'être entendu des recourants, garanti par l' art. 29 al. 2 Cst. (sur le défaut de motivation des décision, cf. ATF 133 V 439 consid. 3.3 p. 445 et les références) et entraîne l'annulation du jugement entrepris, ainsi que le renvoi de la cause à la juridiction cantonale pour qu'elle rende une nouvelle décision au sens de ce qui précède.</w:t>
      </w:r>
    </w:p>
    <w:p>
      <w:r>
        <w:rPr>
          <w:b/>
        </w:rPr>
        <w:t>E. 5</w:t>
      </w:r>
    </w:p>
    <w:p>
      <w:r>
        <w:t>Vu l'issue du litige et la violation qualifiée dans l'application des règles de droit, les frais judiciaires sont mis à la charge du canton de Vaud ( art. 66 al. 3 LTF ; ATF 133 V 402 consid. 5 p. 407 et les références; Seiler/von Werdt/Güngerich, Bundesgerichtsgesetz [BGG], Berne 2007, n. 43 ad art. 66; Thomas Geiser, Basler Kommentar zum Bundesgerichtsgesetz, Bâle 2008, n. 25 ad art. 66). M.________, qui succombe, ne saurait par ailleurs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