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9C_506/2016 vom 27. Oktober 2016</w:t>
      </w:r>
    </w:p>
    <w:p>
      <w:r>
        <w:t>Bundesgericht, 2016-10-27, DE</w:t>
      </w:r>
    </w:p>
    <w:p>
      <w:r>
        <w:rPr>
          <w:b/>
        </w:rPr>
        <w:t xml:space="preserve">Quelle: </w:t>
      </w:r>
      <w:r>
        <w:t>https://mcp.opencaselaw.ch/entscheid/bger_9C_506_2016</w:t>
      </w:r>
    </w:p>
    <w:p>
      <w:r>
        <w:t>FR: TF 9C_506/2016 du 27 octobre 2016</w:t>
      </w:r>
    </w:p>
    <w:p>
      <w:r>
        <w:t>IT: TF 9C_506/2016 del 27 ottobre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Das kantonale Gericht hat die gesetzliche Bestimmung und die Rechtsprechung zur Rentenrevision ( Art. 17 Abs. 1 ATSG ; BGE 141 V 9 E. 5.2 S. 12) zutreffend dargelegt. Darauf wird verwiesen.</w:t>
      </w:r>
    </w:p>
    <w:p>
      <w:r>
        <w:rPr>
          <w:b/>
        </w:rPr>
        <w:t>E. 3</w:t>
      </w:r>
    </w:p>
    <w:p>
      <w:r>
        <w:t>Die Vorinstanz hat dem polydisziplinären Gutachten der MEDAS Zentralschweiz vom 2. Juli 2015, wonach die Beschwerdeführerin in der aktuell ausgeübten Tätigkeit im kaufmännischen Bereich 80 % arbeitsfähig sei, Beweiskraft beigemessen. Sie hat gestützt auf diese Expertise festgestellt, es seien seit der Begutachtung im Jahr 1999 folgende neuen Diagnosen mit Auswirkungen auf die Arbeitsfähigkeit hinzugetreten: Segmentale Problematik im unteren Halswirbelsäulenbereich, Impingementsymptomatik der rechten Schulter sowie neurasthenische Symptome ohne depressive Begleitsymptomatik. Das kantonale Gericht hat im relevanten Zeitraum zwischen der Verfügung vom 11. Dezember 2000 und der Verfügung vom 20. Januar 2016 (vgl. BGE 133 V 108 E. 5.4 S. 114) eine wesentliche Veränderung des Gesundheitszustands festgestellt und damit die Voraussetzungen für eine Rentenrevision nach Art. 17 Abs. 1 ATSG bejaht sowie die Rentenaufhebung bestätigt.</w:t>
      </w:r>
    </w:p>
    <w:p>
      <w:r>
        <w:rPr>
          <w:b/>
        </w:rPr>
        <w:t>E. 4.1</w:t>
      </w:r>
    </w:p>
    <w:p>
      <w:r>
        <w:t>Die Beschwerdeführerin rügt, das kantonale Gericht habe offensichtlich unrichtig eine revisionsrechtlich erhebliche Sachverhaltsveränderung festgestellt und die bundesgerichtliche Rechtsprechung ( BGE 141 V 9 ) willkürlich ausgelegt. Die Vorinstanz habe das Recht auf ein faires Verfahren ( Art. 6 EMRK ) verletzt, da die gleich gebliebene Arbeitsunfähigkeit bei neuen Diagnosen gar nicht mehr nachgewiesen werden könne. Der angefochtene Entscheid führe zu einer nicht zu vertretenden Ungleichbehandlung und Diskriminierung. Er stelle Personen, bei denen sich neue Diagnosen und verstärkte Schmerzen eingestellt hätten, schlechter im Vergleich zu denjenigen Versicherten, bei denen sich überhaupt keine Änderung eingestellt habe, was Art. 8 Abs. 2 BV und Art. 14 EMRK verletze.</w:t>
      </w:r>
    </w:p>
    <w:p>
      <w:r>
        <w:rPr>
          <w:b/>
        </w:rPr>
        <w:t>E. 4.2.1</w:t>
      </w:r>
    </w:p>
    <w:p>
      <w:r>
        <w:t>Diese Kritik verfängt nicht. Das Beschwerdebild hat sich im vorliegenden Fall gemäss den vorinstanzlichen Feststellungen verändert, indem neue Diagnosen hinzugetreten sind (vgl. E. 3 hievor), welche die Versicherte in ihrer bisherigen Tätigkeit 20 % aus rheumatologischer und 10 % aus psychiatrischer Sicht einschränken. Eine anspruchsrelevante Veränderung des Sachverhalts im Sinne ihrer Eignung, zu einer abweichenden Beurteilung des Rentenanspruchs zu führen, liegt hier nach der Feststellung des kantonalen Gerichts vor.</w:t>
      </w:r>
    </w:p>
    <w:p>
      <w:r>
        <w:rPr>
          <w:b/>
        </w:rPr>
        <w:t>E. 4.2.2</w:t>
      </w:r>
    </w:p>
    <w:p>
      <w:r>
        <w:t>Auch der Einwand, der Rheumatologe habe eine andere versicherungsmedizinische Beurteilung eines an sich gleich gebliebenen Zustands vorgenommen, dringt nicht durch. Er hat zwar in der Expertise vom 2. Juli 2015 ausgeführt, gegenüber dem MEDAS-Gutachten aus dem Jahr 1999 und der damals attestierten Einschränkung der Arbeitsfähigkeit sei keine relevante Verbesserung des Gesundheitszustands eingetreten. Dieser Umstand wäre jedoch nur dann von Bedeutung, wenn</w:t>
      </w:r>
    </w:p>
    <w:p>
      <w:r>
        <w:t>anderweitig keine erheblichen Änderungen des medizinischen Sachverhalts eingetreten wären, was hier mit den zusätzlichen Diagnosen und deren Auswirkungen auf die Arbeitsfähigkeit gerade nicht der Fall ist. Mit ihren Vorbringen, die ursprüngliche Rente sei aufgrund der rheumatologischen Befunde und der damals attestierten Arbeitsunfähigkeit von 50 % zugesprochen worden, weshalb nicht nachvollziehbar sei, dass die Vorinstanz die verschlechterten rheumatologischen Befunde als Argument für die Aufhebung der Rentenleistungen heranziehe, vermag die Beschwerdeführerin nicht aufzuzeigen, inwiefern die Vorinstanz BGE 141 V 9 im konkreten Fall willkürlich ( Art. 9 BV ) ausgelegt und angewendet haben soll.</w:t>
      </w:r>
    </w:p>
    <w:p>
      <w:r>
        <w:rPr>
          <w:b/>
        </w:rPr>
        <w:t>E. 4.3</w:t>
      </w:r>
    </w:p>
    <w:p>
      <w:r>
        <w:t>Nach dem Gesagten sind die vorinstanzlichen Feststellungen betreffend die gesundheitliche Entwicklung (E. 3) nicht offensichtlich unrichtig. Die Feststellungen beruhen auch nicht auf einer Rechtsverletzung, weshalb sie für das Bundesgericht verbindlich bleiben (E. 1). Somit ist ein Revisionsgrund im Sinne von Art. 17 Abs. 1 ATSG ausgewiesen. Die Rügen betreffend Verletzung der EMRK und der BV (vgl. E. 4.1 hievor), soweit überhaupt den erhöhten Begründungsanforderungen genügend (vgl. BGE 141 I 36 E. 1.3 S. 41 mit Hinweisen), sind bereits deshalb unbehelflich, weil Diagnoseänderungen mit Auswirkungen auf die Arbeitsfähigkeit konkret ausgewiesen sind und nicht ersichtlich ist, inwiefern die bei ausgewiesenen anspruchsrelevanten Gesundheitsveränderungen zulässige Rentenrevision zu einer verpönten Diskriminierung führen soll.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