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506/2009 vom 14. August 2009</w:t>
      </w:r>
    </w:p>
    <w:p>
      <w:r>
        <w:t>Bundesgericht, 2009-08-14, DE</w:t>
      </w:r>
    </w:p>
    <w:p>
      <w:r>
        <w:rPr>
          <w:b/>
        </w:rPr>
        <w:t xml:space="preserve">Quelle: </w:t>
      </w:r>
      <w:r>
        <w:t>https://mcp.opencaselaw.ch/entscheid/bger_9C_506_2009</w:t>
      </w:r>
    </w:p>
    <w:p>
      <w:r>
        <w:t>FR: TF 9C 506/2009 du 14 août 2009</w:t>
      </w:r>
    </w:p>
    <w:p>
      <w:r>
        <w:t>IT: TF 9C 506/2009 del 14 agosto 2009</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Prozessthema bildet einzig die Frage, ob die IV-Stelle zu Recht auf das Revisionsgesuch von Juni 2008 nicht eingetreten ist, weil der Beschwerdeführer darin eine rentenrelevante Verschlechterung seines Gesundheitszustandes nicht glaubhaft darzutun vermochte. Hingegen kann im Rahmen des vorliegenden Verfahrens nicht auf den materiellen Antrag um Zusprechung einer ganzen Invalidenrente eingetreten werden (vgl. BGE 132 V 74 E. 1.1 S. 76 mit Hinweis).</w:t>
      </w:r>
    </w:p>
    <w:p>
      <w:r>
        <w:rPr>
          <w:b/>
        </w:rPr>
        <w:t>E. 3</w:t>
      </w:r>
    </w:p>
    <w:p>
      <w:r>
        <w:t>Das kantonale Gericht hat die Verordnungsbestimmung und die von der Rechtsprechung entwickelten Grundsätze über das Erfordernis des Glaubhaftmachens einer anspruchsrelevanten Erhöhung des Invaliditätsgrades im Revisionsgesuch als Voraussetzung für dessen umfassende Prüfung durch die Organe der Invalidenversicherung zutreffend dargelegt ( Art. 87 Abs. 3 IVV ; vgl. BGE 130 V 64 ; 117 V 198 ; Urteil 9C_286/2009 E. 2.2; Urteil des Eidgenössischen Versicherungsgerichts I 692/06 vom 19. Dezember 2006 E. 2). Im angefochtenen Entscheid wurde auch die Rechtsprechung richtig wiedergegeben, wonach bei einer Rentenrevision (auf Gesuch hin oder von Amtes wegen) zeitlicher Ausgangspunkt für die Beurteilung einer anspruchserheblichen Änderung des Invaliditätsgrades stets die letzte rechtskräftige Verfügung (oder der letzte rechtskräftige Einspracheentscheid) bildet, welche auf einer materiellen Prüfung des Rentenanspruchs mit rechtskonformer Sachverhaltsabklärung, Beweiswürdigung und Durchführung eines Einkommensvergleichs beruht ( BGE 133 V 108 ; vgl. auch BGE 130 V 71 E. 3.2.3 S. 75; Urteil 9C_17/2009 vom 21. Juli 2009).</w:t>
      </w:r>
    </w:p>
    <w:p>
      <w:r>
        <w:rPr>
          <w:b/>
        </w:rPr>
        <w:t>E. 4</w:t>
      </w:r>
    </w:p>
    <w:p>
      <w:r>
        <w:t>Des Weitern hat die Vorinstanz erwogen, dass der Beschwerdeführer weder mit den dem Revisionsgesuch von Juni 2008 beigelegten fachärztlichen Berichten (des Zentrums für Psychiatrie und Psychotherapie am Spital X.________ vom 21. Mai 2008 und des Psychiatrischen Dienstes am Spital Y.________ vom 27. März 2008) noch mit der Stellungnahme des behandelnden Psychiaters Dr. R.________ vom 7. November 2008 eine zwischen dem 31. Mai 2007 (Datum des letzten auf einer materiellen Prüfung des Rentenanspruchs beruhenden rechtskräftigen Verwaltungsentscheids) und dem 17. Oktober 2008 (Datum der streitigen Revisionsverfügung) eingetretene Verschlechterung des Gesundheitszustandes glaubhaft machen kann. Verglichen mit der dem erwähnten Einspracheentscheid zugrunde liegenden polydisziplinären Expertise des Instituts Z.________ vom 5. März 2007 würden keine davon abweichenden neuen Befunde erhoben, sondern lediglich - hier nicht relevante - unterschiedliche Beurteilungen des im Wesentlichen gleich gebliebenen medizinischen Sachverhalts vorgenommen. Diese vorinstanzliche Sachverhaltswürdigung ist weder offensichtlich unrichtig noch sonstwie rechtsfehlerhaft im Sinne von E. 1 hievor und daher für das Bundesgericht verbindlich (vgl. Urteil des Eidgenössischen Versicherungsgerichts I 692/06 vom 19. Dezember 2006 E. 3.2). Die Einwendungen in der Beschwerde erschöpfen sich denn auch vollständig in - vor Bundesgericht nicht zu hörender - rein appellatorischer Kritik am angefochtenen Entscheid. Nach dem Gesagten muss es mit dem vom kantonalen Gericht bestätigten Nichteintreten der IV-Stelle auf das neuerliche Revisionsgesuch von Juni 2008 sein Bewenden haben.</w:t>
      </w:r>
    </w:p>
    <w:p>
      <w:r>
        <w:rPr>
          <w:b/>
        </w:rPr>
        <w:t>E. 5</w:t>
      </w:r>
    </w:p>
    <w:p>
      <w:r>
        <w:t>Die - soweit zulässig -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