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504/2020 vom 23. Oktober 2020</w:t>
      </w:r>
    </w:p>
    <w:p>
      <w:r>
        <w:t>Bundesgericht, 2020-10-23, DE</w:t>
      </w:r>
    </w:p>
    <w:p>
      <w:r>
        <w:rPr>
          <w:b/>
        </w:rPr>
        <w:t xml:space="preserve">Quelle: </w:t>
      </w:r>
      <w:r>
        <w:t>https://mcp.opencaselaw.ch/entscheid/bger_9C_504_2020</w:t>
      </w:r>
    </w:p>
    <w:p>
      <w:r>
        <w:t>FR: TF 9C 504/2020 du 23 octobre 2020</w:t>
      </w:r>
    </w:p>
    <w:p>
      <w:r>
        <w:t>IT: TF 9C 504/2020 del 23 ottobre 2020</w:t>
      </w:r>
    </w:p>
    <w:p>
      <w:pPr>
        <w:pStyle w:val="Heading2"/>
      </w:pPr>
      <w:r>
        <w:t>Regeste</w:t>
      </w:r>
    </w:p>
    <w:p>
      <w:r>
        <w:t>Invalidenversicherung (Invalidenrente; Rückerstattung)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w:t>
      </w:r>
    </w:p>
    <w:p>
      <w:r>
        <w:t>Streitig und zu prüfen ist, ob die Vorinstanz Bundesrecht verletzte, indem sie die Rückerstattungsverfügung der Beschwerdegegnerin vom 3. April 2019 bestätigt und namentlich eine Verwirkung der entsprechenden Rückforderung verneint hat. Die für die Beurteilung massgeblichen rechtlichen Grundlagen, insbesondere Art. 25 Abs. 2 ATSG sowie BGE 142 V 20 E. 3.2.2 S. 24 f. mit Hinweisen, wurden im angefochtenen Entscheid zutreffend dargelegt. Darauf wird verwiesen ( Art. 109 Abs. 3 Satz 2 BGG ).</w:t>
      </w:r>
    </w:p>
    <w:p>
      <w:r>
        <w:rPr>
          <w:b/>
        </w:rPr>
        <w:t>E. 3.1</w:t>
      </w:r>
    </w:p>
    <w:p>
      <w:r>
        <w:t>Die Vorinstanz ist zum Ergebnis gelangt, die für Rückforderungen von unrechtmässig bezogenen Leistungen geltende relative einjährige Verwirkungsfrist gemäss Art. 25 Abs. 2 Satz 1 Teilsatz 1 ATSG beginne nach der einschlägigen Rechtsprechung (u.a. Urteile 8C_580/2018 vom 9. Januar 2019 E. 4.2 und 9C_195/2014 vom 3. September 2014 E. 2.1) in der Regel mit der Rechtskraft der Rentenaufhebung als fristauslösendes Moment, wobei dem Erlass des Vorbescheids fristwahrende Wirkung zukomme. Vorliegend sei die von der Beschwerdegegnerin am 13. Dezember 2013 auf Ende Januar 2014 verfügte Aufhebung der bisherigen ganzen Invalidenrente des Beschwerdeführers mit unangefochten gebliebenem Entscheid vom 5. Juni 2018 rechtskräftig geworden. Mit Erlass des Rückforderungsvorbescheids vom 20. November 2018 habe die Beschwerdegegnerin die einjährige Verwirkungsfrist daher gewahrt. Ebenso wenig sei, so das kantonale Gericht weiter unter Bezugnahme u.a. auf das Urteil 9C_34/2018 vom 4. Dezember 2018 E. 1.1, in Anbetracht von ab Februar 2014 ausgerichteten Rentenleistungen der Rückforderungsanspruch auf Grund der fünfjährigen absoluten Verwirkungsfrist nach Art. 25 Abs. 2 Satz 1 Teilsatz 2 ATSG erloschen. Die verfügte Rückforderung, die in betraglicher Hinsicht nicht bestritten werde, erweise sich folglich als korrekt.</w:t>
      </w:r>
    </w:p>
    <w:p>
      <w:r>
        <w:rPr>
          <w:b/>
        </w:rPr>
        <w:t>E. 3.2</w:t>
      </w:r>
    </w:p>
    <w:p>
      <w:r>
        <w:t>Die Vorbringen in der Beschwerde vermögen an diesen vorinstanzlichen Schlussfolgerungen nichts zu ändern, zumal sie sich im Wesentlichen in einer Wiederholung der bereits im kantonalen Beschwerdeverfahren erhobenen und entkräfteten Rügen erschöpfen. Insbesondere ist nicht erkennbar, worin die vom Beschwerdeführer gerügte unrichtige Auslegung respektive Würdigung von Art. 25 Abs. 2 ATSG durch das kantonale Gericht und die dadurch angeblich begangene Verletzung des Gebots der willkürfreien Rechtsanwendung ( Art. 9 BV ) und des rechtlichen Gehörs ( Art. 29 Abs. 2 BV ) bzw. des Vertrauensprinzips ( Art. 5 Abs. 3 BV ) bestehen sollte. Namentlich sind, wie im angefochtenen Entscheid dargelegt, weder der Zeitpunkt, in welchem die Beschwerdegegnerin Kenntnis vom gerichtlich eingeholten Gutachten des Dr. med. B.________ vom 7. September 2017 genommen hat, noch mögliches Wissen beispielsweise von Meldungen des Versicherten bei der Ausgleichskasse bezüglich eines unrechtmässigen Leistungsbezugs geeignet, den Fristenlauf auszulösen, da die Aufhebung der Rente damals noch nicht rechtskräftig feststand. Aus diesem Grund vermag auch der Hinweis des Beschwerdeführers auf das Urteil 9C_482/2009 vom 19. Februar 2010 E. 3.3.2 nichts zu ändern, wonach, sofern die unrechtmässige Leistungsausrichtung auf einen Fehler des Versicherungsträgers zurückzuführen ist, die einjährige Frist an jenem Tag zu laufen beginnt, an dem sich die Amtsstelle später unter Anwendung der ihr zumutbaren Aufmerksamkeit über ihren Fehler hätte Rechenschaft geben müssen. Vielmehr stellte sich die betreffende Leistungsausrichtung erst mit unangefochten gebliebenem Entscheid der Vorinstanz vom 5. Juni 2018 als unrechtmässig heraus, weshalb die Beschwerdegegnerin nicht bereits zu einem früheren Zeitpunkt gehalten gewesen wäre - mit der Folge des Beginns der einjährigen Verwirkungsfrist im Falle der Unterlassung -, vorsorglich die Leistungen einzustellen.</w:t>
      </w:r>
    </w:p>
    <w:p>
      <w:r>
        <w:rPr>
          <w:b/>
        </w:rPr>
        <w:t>E. 4</w:t>
      </w:r>
    </w:p>
    <w:p>
      <w:r>
        <w:t>Das Gesuch um aufschiebende Wirkung wird mit dem heutigen Urteil gegenstandslos.</w:t>
      </w:r>
    </w:p>
    <w:p>
      <w:r>
        <w:rPr>
          <w:b/>
        </w:rPr>
        <w:t>E. 5.1</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5.2</w:t>
      </w:r>
    </w:p>
    <w:p>
      <w:r>
        <w:t>Dem Verfahrensausgang entsprechend werden die Gerichtskosten dem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