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502/2007 vom 22. April 2008</w:t>
      </w:r>
    </w:p>
    <w:p>
      <w:r>
        <w:t>Bundesgericht, 2008-04-22, DE</w:t>
      </w:r>
    </w:p>
    <w:p>
      <w:r>
        <w:rPr>
          <w:b/>
        </w:rPr>
        <w:t xml:space="preserve">Quelle: </w:t>
      </w:r>
      <w:r>
        <w:t>https://mcp.opencaselaw.ch/entscheid/bger_9C_502_2007</w:t>
      </w:r>
    </w:p>
    <w:p>
      <w:r>
        <w:t>FR: TF 9C 502/2007 du 22 avril 2008</w:t>
      </w:r>
    </w:p>
    <w:p>
      <w:r>
        <w:t>IT: TF 9C 502/2007 del 22 aprile 2008</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Bei einer Änderung gesetzlicher Vorschriften sind grundsätzlich diejenigen materiellen Rechtssätze massgeblich, die bei der Erfüllung des zu Rechtsfolgen führenden Tatbestandes Geltung haben ( BGE 132 V 215 E 3.1.1 S. 220 mit Hinweis). Dieser allgemeine übergangsrechtliche Grundsatz gilt auch im Bereich der beruflichen Vorsorge, namentlich bei Reglements- und Statutenänderungen ( BGE 127 V 309 E. 3b S. 314 mit Hinweisen). Bei der Festsetzung von Invalidenleistungen sind grundsätzlich die Reglementsbestimmungen massgebend, welche im Zeitpunkt der Entstehung des Leistungsanspruchs gelten und nicht jene, die bei Beginn der - in der Folge invalidisierenden - Arbeitsunfähigkeit (vgl. Art. 23, Art. 26 Abs. 1 BVG ) in Kraft waren ( BGE 121 V 97 ). Eine Abweichung hievon müsste sich aus den Übergangsbestimmungen des alten oder des neuen Vorsorgereglementes oder aber daraus ergeben, dass nach den Reglementsbestimmungen der Zeitpunkt der Entstehung des Leistungsanspruchs mit dem Eintritt der Arbeitsunfähigkeit zusammenfällt.</w:t>
      </w:r>
    </w:p>
    <w:p>
      <w:r>
        <w:rPr>
          <w:b/>
        </w:rPr>
        <w:t>E. 3.1</w:t>
      </w:r>
    </w:p>
    <w:p>
      <w:r>
        <w:t>Weder das Vorsorgereglement der Beschwerde führenden Winterthur-Columna (in der ab 1. Juli 2002 geltenden Ausgabe) noch die beiden hier in Frage stehenden Vorsorgepläne (gültig ab 1. April 2003 bzw. ab 1. Januar 2004, welche nach ihrer jeweiligen Ziff. 1.7 Bestandteil des Vorsorgereglementes bilden) enthalten übergangsrechtliche Bestimmungen, die ein Abgehen von der hievor dargelegten Rechtsprechung zuliessen. Ebenso wenig fällt nach den reglementarischen Bestimmungen der Zeitpunkt der Entstehung des Anspruchs auf eine Invalidenrente (oder derjenige auf die Beitragsbefreiung) mit dem Eintritt der Arbeitsunfähigkeit zusammen. Vielmehr übernimmt das Vorsorgereglement der Beschwerdeführerin die Regelung von Art. 23 lit. a BVG , indem es in Ziff. 20.3 bestimmt, dass "der Anspruch auf Invaliditätsleistungen (...) in jedem Fall voraus(setzt), dass die versicherte Person bei Eintritt der Arbeitsunfähigkeit, deren Ursache zur Invalidität geführt hat, auf Grund dieses Vorsorgereglementes versichert war". Ferner lehnt sich das Reglement der Winterthur-Columna weitgehend an Art. 26 Abs. 1 BVG in Verbindung mit Art. 29 Abs. 1 lit. b IVG (in der bis Ende 2007 gültig gewesenen Fassung) an, wenn es in Ziff. 21.1 den Anspruch auf die Invalidenrente und in Ziff. 23.1 denjenigen auf die Beitragsbefreiung erst nach Ablauf einer "Wartefrist" entstehen lässt, deren Dauer gemäss Ziff. 20.4 Abs. 1 im jeweiligen Vorsorgeplan festgelegt ist und im Falle der Invalidenrente 24 Monate, bei der Beitragsbefreiung 3 Monate beträgt (je Ziff. 2.2.1 Abs. 2 und Ziff. 2.2.3 der beiden hier zur Diskussion stehenden Vorsorgepläne).</w:t>
      </w:r>
    </w:p>
    <w:p>
      <w:r>
        <w:rPr>
          <w:b/>
        </w:rPr>
        <w:t>E. 3.2</w:t>
      </w:r>
    </w:p>
    <w:p>
      <w:r>
        <w:t>Nach den zitierten reglementarischen Bestimmungen lässt sich der von der Winterthur-Columna eingenommene Standpunkt, wonach mit Ablauf der dreimonatigen Wartezeit am 5. September 2003 nicht nur der Anspruch auf die Befreiung von der Beitragszahlung, sondern gleichsam der allgemeine "Leistungsanspruch aus Invalidität" und daher auch derjenige auf eine Invalidenrente entstanden sei, nicht halten. Die Wartezeiten, welche bis zur Entstehung der beiden im Vorsorgereglement gesondert geregelten Ansprüche "Invalidenrente" (Ziff. 21) und "Beitragsbefreiung" (Ziff. 23) ablaufen müssen, sind in den erwähnten Vorsorgeplänen klar angegeben und unterscheiden sich nach dem Gesagten deutlich voneinander (jeweilige Ziff. 2.2.1 Abs. 2 und Ziff. 2.2.3). Allerdings "entstand" die - hier allein streitige - Berechtigung auf eine Invalidenrente nicht erst am 5. Juni 2005 (nach Ablauf einer 24-monatigen Arbeitsunfähigkeit), wie aufgrund der bisher zitierten Reglementsbestimmungen gefolgert werden könnte. Vielmehr ist Ziff. 20.4 Abs. 3 des Vorsorgereglementes zu beachten, welcher wie folgt lautet: "Beträgt die vereinbarte Wartefrist 24 Monate und sollten im Falle einer Invalidität infolge Krankheit die Krankentaggeldleistungen nicht für die Dauer von 24 Monaten erbracht werden, so werden die Invaliden- und Invaliden-Kinderrenten ab dem Tag gewährt, ab dem die Krankentaggeldleistung erlischt, frühestens aber ab dem Zeitpunkt des IV-Rentenanspruches." Aufgrund dieser Reglementsbestimmung ergibt sich, dass der materiellrechtliche Rentenanspruch - in Übereinstimmung mit Art. 26 Abs. 1 BVG in Verbindung mit Art. 29 Abs. 1 lit. b IVG (in der bis Ende 2007 gültig gewesenen Fassung) - am 5. Juni 2004 entstand, nachdem der Beschwerdegegner während eines Jahres ohne wesentlichen Unterbruch arbeitsunfähig gewesen war. Mit der Ausdehnung der Wartezeit auf 24 Monate hat die Winterthur-Columna (bloss) von der durch Art. 26 Abs. 2 BVG in Verbindung mit Art. 26 BVV 2 eingeräumten Befugnis Gebrauch gemacht und den Beginn ihrer Rentenzahlungen bis zur Erschöpfung des Taggeldanspruchs gegenüber der Krankenversicherung hinausgeschoben. Dass der eigentliche reglementarische Rentenanspruch jeweils bereits nach einjähriger Wartezeit entsteht, ist schon daraus zu schliessen, dass die angeführte Ziff. 20.4 Abs. 3 des Vorsorgereglementes unter den genannten Voraussetzungen vorsieht, die Invalidenrenten schon vor Ablauf der 24-monatigen Wartezeit zu "gewähren". Eine derartige vorgezogene Rentenausrichtung ist aber nur möglich, wenn der materiellrechtliche Rentenanspruch eben bereits entstanden ist.</w:t>
      </w:r>
    </w:p>
    <w:p>
      <w:r>
        <w:rPr>
          <w:b/>
        </w:rPr>
        <w:t>E. 3.3</w:t>
      </w:r>
    </w:p>
    <w:p>
      <w:r>
        <w:t>Ist die Rentenberechtigung als solche am 5. Juni 2004 entstanden, hat die Vorinstanz die Berechnung dieser reglementarischen Invalidenleistung zu Recht nach dem ab 1. Januar 2004 geltenden Vorsorgeplan vorgenommen. Gemäss dessen Ziff. 2.2.1 Abs. 1 beträgt die Höhe der vollen jährlichen Invalidenrente 40 % des versicherten Lohnes, welcher sich laut dem von der Winterthur-Columna ausgestellten persönliche Ausweis (gültig ab 1. Januar 2004) auf Fr. 56'760.- belief. Die mit angefochtenem Entscheid ab 5. Juni 2005 zugesprochene Invalidenrente von Fr. 22'704.- pro Jahr (Fr. 56'760.- x 0,4) lässt sich ebenso wenig beanstanden wie die Verpflichtung der Winterthur-Columna, auf den fälligen Rentenbetreffnissen einen Verzugszins von 5 % ab Klageeinreichung vom 3. März 2006 zu entrichten ( BGE 119 V 131 ).</w:t>
      </w:r>
    </w:p>
    <w:p>
      <w:r>
        <w:rPr>
          <w:b/>
        </w:rPr>
        <w:t>E. 4</w:t>
      </w:r>
    </w:p>
    <w:p>
      <w:r>
        <w:t>Die Gerichtskosten werden der Beschwerde führenden Winterthur-Columna als unterliegender Partei auferlegt ( Art. 66 Abs. 1 BGG ).</w:t>
      </w:r>
    </w:p>
    <w:p>
      <w:r>
        <w:rPr>
          <w:b/>
        </w:rPr>
        <w:t>E. 5.1</w:t>
      </w:r>
    </w:p>
    <w:p>
      <w:r>
        <w:t>Gemäss Art. 68 Abs. 2 BGG wird die unterliegende Partei in der Regel verpflichtet, der obsiegenden Partei nach Massgabe des Tarifs des Bundesgerichts alle durch den Rechtsstreit verursachten notwendigen Kosten zu ersetzen. Laut Art. 1 und 2 Abs. 1 des Reglements über die Parteientschädigung und die Entschädigung für die amtliche Vertretung im Verfahren vor dem Bundesgericht vom 31. März 2006 (SR 173.110.210.3) umfasst die der obsiegenden Partei zustehende Parteientschädigung die Anwaltskosten und allfällige weitere notwendige Kosten, die durch den Rechtsstreit verursacht werden, wobei die Anwaltskosten das Honorar und die notwendigen Auslagen des Anwaltes oder der Anwältin umfassen.</w:t>
      </w:r>
    </w:p>
    <w:p>
      <w:r>
        <w:rPr>
          <w:b/>
        </w:rPr>
        <w:t>E. 5.2</w:t>
      </w:r>
    </w:p>
    <w:p>
      <w:r>
        <w:t>Die Rechtsvertreterin des Beschwerdegegners reichte am 21. Dezember 2007 eine Zusammenstellung ihrer Bemühungen ins Recht, wonach sie für das letztinstanzliche Verfahren insgesamt 11,2 Stunden à Fr. 250.- aufgewendet habe, was ein Anwaltshonorar von Fr. 2800.- ergibt. Zusammen mit den Barauslagen von Fr. 38.60 und der Mehrwertsteuer beläuft sich die Kostennote der Anwältin auf gesamthaft Fr. 3054.35. Der vorliegende Rechtsstreit hat indessen unter dem Gesichtspunkt der erforderlichen Arbeitsleistung und des dafür benötigten Zeitaufwands keine übermässigen Anforderungen gestellt. Ebenso wenig kann gesagt werden, dass es sich bei der Streitsache um eine überaus schwierige Angelegenheit gehandelt hätte, die ein Abweichen vom praxisgemässen Normalansatz rechtfertigen würde. Unter Berücksichtigung der gesamten Umstände scheint eine Entschädigung von Fr. 2500.- (Honorar, Auslagenersatz und Mehrwertsteuer) für das bundesgerichtliche Verfahren als durchaus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