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9C_500/2022 vom 23. Februar 2023</w:t>
      </w:r>
    </w:p>
    <w:p>
      <w:r>
        <w:t>Bundesgericht, 2023-02-23, DE</w:t>
      </w:r>
    </w:p>
    <w:p>
      <w:r>
        <w:rPr>
          <w:b/>
        </w:rPr>
        <w:t xml:space="preserve">Quelle: </w:t>
      </w:r>
      <w:r>
        <w:t>https://mcp.opencaselaw.ch/entscheid/bger_9C_500_2022</w:t>
      </w:r>
    </w:p>
    <w:p>
      <w:r>
        <w:t>FR: TF 9C_500/2022 du 23 février 2023</w:t>
      </w:r>
    </w:p>
    <w:p>
      <w:r>
        <w:t>IT: TF 9C_500/2022 del 23 febbraio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Frei überprüfbare Rechtsfrage ist dagegen, nach welchen Gesichtspunkten die Entscheidung über den Zeitpunkt des Eintritts einer massgebenden Arbeitsunfähigkeit zu erfolgen hat, und ob die Beweiswürdigung unter Beachtung der rechtsprechungsgemäss relevanten Kriterien erfolgte (Urteil 9C_143/2021 vom 25. Juni 2021 E. 1.2).</w:t>
      </w:r>
    </w:p>
    <w:p>
      <w:r>
        <w:rPr>
          <w:b/>
        </w:rPr>
        <w:t>E. 1.3</w:t>
      </w:r>
    </w:p>
    <w:p>
      <w:r>
        <w:t>Eine Sachverhaltsfeststellung ist nicht schon dann offensichtlich unrichtig, wenn sich Zweifel anmelden, sondern erst, wenn sie eindeutig und augenfällig unzutreffend ist ( BGE 132 I 42 E. 3.1). Eine offensichtlich unrichtige Sachverhaltsfeststellung weist damit die Tragweite von Willkür auf ( BGE 135 II 145 E. 8.1). Es liegt noch keine offensichtliche Unrichtigkeit vor, nur weil eine andere Lösung ebenfalls in Betracht fällt, selbst wenn diese als die plausiblere erscheint ( BGE 142 II 369 E. 4.3 ; 129 I 8 E. 2.1).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Urteil 9C_805/2016 vom 21. Juni 2017 E. 1.3 mit Hinweisen).</w:t>
      </w:r>
    </w:p>
    <w:p>
      <w:r>
        <w:rPr>
          <w:b/>
        </w:rPr>
        <w:t>E. 2</w:t>
      </w:r>
    </w:p>
    <w:p>
      <w:r>
        <w:t>Es steht fest und ist unbestritten, dass der Versicherte Anspruch auf Invalidenleistungen der beruflichen Vorsorge hat. Streitig ist, welche Vorsorgeeinrichtung zur Ausrichtung dieser Leistungen zuständig ist.</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4.1</w:t>
      </w:r>
    </w:p>
    <w:p>
      <w:r>
        <w:t>Es steht fest, dass der Versicherte - als damals langjähriger Angestellter der Gesellschaft E.________ - ab März 2008 an einer Depression mit Zwangserkrankung litt und dieser Gesundheitsschaden letztlich zu der im Jahre 2015 eingetretenen Erwerbsunfähigkeit führte. Nach Ende der Anstellung bei der Gesellschaft E.________ auf den 30. Juni 2009 wurde dem Versicherten zunächst keine Arbeitsunfähigkeit mehr attestiert und er bezog vom 8. Juli bis 31. August 2009 Taggelder der Arbeitslosenversicherung. Ab dem 1. September 2009 war der Versicherte als Kundenberater im Aussendienst der A.________ GmbH angestellt; die A.________ GmbH kündigte das Arbeitsverhältnis am 13. Januar 2012 per 30. April 2012 und stellte den Versicherten frei.</w:t>
      </w:r>
    </w:p>
    <w:p>
      <w:r>
        <w:rPr>
          <w:b/>
        </w:rPr>
        <w:t>E. 4.2</w:t>
      </w:r>
    </w:p>
    <w:p>
      <w:r>
        <w:t>Gemäss den grundsätzlich verbindlichen Sachverhaltsfeststellungen des kantonalen Gerichts arbeitete der Versicherte ab dem 1. September 2009 bei der A.________ GmbH während mehreren Monaten mit einer Arbeitsfähigkeit von über 80 %; aus damaliger Sicht habe eine dauerhafte Wiedererlangung der Arbeitsfähigkeit als objektiv wahrscheinlich erschienen. Daraus schloss die Vorinstanz auf eine Unterbrechung des zeitlichen Konnexes zwischen der im Jahre 2008 (und damit während seiner Tätigkeit bei der Gesellschaft E.________) eingetretenen Arbeitsunfähigkeit und der Erwerbsunfähigkeit, welche schliesslich zu seiner Berentung führte. Da der Versicherte gemäss den vorinstanzlichen Feststellungen noch während des Arbeitsverhältnisses bei der A.________ GmbH erneut arbeitsunfähig wurde und er in der Folge seine Arbeitsfähigkeit nicht während längerer Zeit zu mindestens 80 % wiedererlangte, verurteilte die Vorinstanz die Beschwerdeführerin als die für die A.________ GmbH zuständige Vorsorgeeinrichtung zur Ausrichtung der Invalidenrente.</w:t>
      </w:r>
    </w:p>
    <w:p>
      <w:r>
        <w:t>Die Beschwerdeführerin macht im Wesentlichen geltend, der Versicherte habe auch während seiner Zeit bei der A.________ GmbH seine Arbeitsfähigkeit nicht in dem Umfang wiedererlangt, dass der zeitliche Konnex zwischen der 2008 eingetretenen Arbeitsunfähigkeit und der späteren Erwerbsunfähigkeit unterbrochen sei. Die Erwägung der Vorinstanz, wonach es nach dem Ende des Arbeitsverhältnisses mit der A.________ GmbH nicht mehr zu einer Unterbrechung des zeitlichen Konnexes kam, wird demgegenüber von der Beschwerdeführerin nicht substanziiert bestritten.</w:t>
      </w:r>
    </w:p>
    <w:p>
      <w:r>
        <w:rPr>
          <w:b/>
        </w:rPr>
        <w:t>E. 4.3</w:t>
      </w:r>
    </w:p>
    <w:p>
      <w:r>
        <w:t>Auf Grund der insoweit unbestritten gebliebenen vorinstanzlichen Erwägungen steht fest, dass der Versicherte in der Lage war, bei der A.________ GmbH ein rentenausschliessendes Einkommen zu erzielen. Damit war diese Stelle grundsätzlich geeignet, den zeitlichen Konnex zwischen der bereits früher sich erstmals manifestierenden Arbeitsunfähigkeit und der späteren Invalidität zu unterbrechen (vgl. Urteil 9C_518/2021 vom 4. Februar 2022 E. 2.2; BGE 134 V 20 E. 5.3). Weiter steht fest, dass der Versicherte mindestens in den neun ersten Monaten seiner Beschäftigung an über 80 % der Arbeitstage an seiner Stelle präsent war; dies würde selbst dann gelten, wenn man gemäss den Vorbringen der Beschwerdeführerin davon ausgehen würde, dass es sich bei einem Teil der in dieser Zeit bezogenen Ferientage um versteckte Krankheitsabsenzen gehandelt habe. Soweit die Beschwerdeführerin geltend macht, aus der blossen Präsenz am Arbeitsplatz könne noch nicht auf eine volle Leistungsfähigkeit geschlossen werden, hat das kantonale Gericht nachvollziehbar begründet, weshalb aus dem vom Versicherten erzielten, gegenüber seinem Vorgänger verminderten, Umsatz nicht auf eine verminderte Leistungsfähigkeit geschlossen werden kann. Daran vermögen auch die Ausführungen der Beschwerdeführerin nichts zu ändern, beziehen sich diese doch auf das Jahr 2011, in welchem der Versicherte gemäss den vorinstanzlichen Feststellungen erneut erkrankte. Andere Indizien für eine reduzierte Leistungsfähigkeit des Versicherten zwischen September 2009 und Mai 2010 werden von der Beschwerdeführerin nicht dargetan. Weiter trifft es zwar zu, dass auch eine längere als dreimonatige Wiederaufnahme einer Erwerbstätigkeit dann nicht zu einer Unterbrechung des zeitlichen Konnexes führt, wenn eine Wiedereingliederung unwahrscheinlich war (vgl. E. 3.3); die Beschwerdeführerin vermag allerdings keine konkreten Gründe zu benennen, welche die Wahrscheinlichkeit der Wiedereingliederung herabsetzten. Soweit sie in diesem Zusammenhang geltend macht, aufgrund der neueren Arztberichte sei davon auszugehen, dass bereits seit mindestens dem Jahre 2009 die später diagnostizierte Persönlichkeitsstörung bestand und sich in der Form der damals beschriebenen depressiven und zwanghaften Symptomatik äusserte, so beziehen sich diese Ausführungen auf den unstreitig gegebenen sachlichen Konnex, nicht aber auf die vorliegend einzig umstrittene Frage, ob die Stelle bei der A.________ GmbH den zeitlichen Konnex zu unterbrechen vermochte.</w:t>
      </w:r>
    </w:p>
    <w:p>
      <w:r>
        <w:rPr>
          <w:b/>
        </w:rPr>
        <w:t>E. 4.4</w:t>
      </w:r>
    </w:p>
    <w:p>
      <w:r>
        <w:t>Somit hat das kantonale Gericht kein Bundesrecht verletzt, als es den zeitlichen Konnex zwischen der früher eingetretenen Arbeitsunfähigkeit und der späteren Invalidität durch die Anstellung bei der A.________ GmbH als unterbrochen erachtete. Da es noch während dieser Anstellung zu einer erneuten längeren Arbeitsunfähigkeit aufgrund des vorbestehenden Leidens kam und der zeitliche Konnex gemäss den nicht substanziiert bestrittenen vorinstanzlichen Erwägungen durch die folgenden Anstellungsverhältnisse nicht wieder unterbrochen wurde, ist nicht zu beanstanden, dass das kantonale Gericht die Beschwerdeführerin als leistungspflichtige Vorsorgeeinrichtung qualifizierte und sie entsprechend zur Ausrichtung von Invalidenleistungen der beruflichen Vorsorge verpflichtete. Entsprechend ist ihre Beschwerde abzuweisen.</w:t>
      </w:r>
    </w:p>
    <w:p>
      <w:r>
        <w:rPr>
          <w:b/>
        </w:rPr>
        <w:t>E. 5</w:t>
      </w:r>
    </w:p>
    <w:p>
      <w:r>
        <w:t>Dem Ausgang des Verfahrens entsprechend hat die Beschwerdeführerin die Gerichtskosten zu tragen ( Art. 66 Abs. 1 BGG ). Da die Beschwerde ohne Durchführung eines Schriftenwechsels erledigt wird (vgl. Art. 102 Abs. 1 BGG e contrario) und dem Versicherten damit kein entschädigungspflichtiger Aufwand entstanden ist, ist von der Zusprache einer Parteientschädigung abzusehen (vgl. Urteil 9C_170/2021 vom 14. April 2021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