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500/2013 vom 29. November 2013</w:t>
      </w:r>
    </w:p>
    <w:p>
      <w:r>
        <w:t>Bundesgericht, 2013-11-29, DE</w:t>
      </w:r>
    </w:p>
    <w:p>
      <w:r>
        <w:rPr>
          <w:b/>
        </w:rPr>
        <w:t xml:space="preserve">Quelle: </w:t>
      </w:r>
      <w:r>
        <w:t>https://mcp.opencaselaw.ch/entscheid/bger_9C_500_2013</w:t>
      </w:r>
    </w:p>
    <w:p>
      <w:r>
        <w:t>FR: TF 9C 500/2013 du 29 novembre 2013</w:t>
      </w:r>
    </w:p>
    <w:p>
      <w:r>
        <w:t>IT: TF 9C 500/2013 del 29 novembre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Anspruch auf Hilflosenentschädigung ( Art. 42 Abs. 1 IVG und Art. 37 IVV ) zutreffend wiedergegeben. Darauf wird verwiesen.</w:t>
      </w:r>
    </w:p>
    <w:p>
      <w:r>
        <w:rPr>
          <w:b/>
        </w:rPr>
        <w:t>E. 3</w:t>
      </w:r>
    </w:p>
    <w:p>
      <w:r>
        <w:t>Wie das kantonale Gericht festgehalten hat, sind die Voraussetzungen für eine revisionsweise Aufhebung der mit Verfügung vom 4. Dezember 2007 zugesprochenen Entschädigung für leichte Hilflosigkeit nach Art. 17 ATSG nicht erfüllt: Denn sowohl aus dem Abklärungsbericht vom 31. Mai 2011 wie auch aus der Expertise des Zentrums für Medizinische Begutachtung (vom 27. Januar 2011) ergebe sich ein stationärer Gesundheitszustand; ein Revisionsgrund liege damit nicht vor.</w:t>
      </w:r>
    </w:p>
    <w:p>
      <w:r>
        <w:rPr>
          <w:b/>
        </w:rPr>
        <w:t>E. 4</w:t>
      </w:r>
    </w:p>
    <w:p>
      <w:r>
        <w:t>Nach Art. 53 Abs. 2 ATSG kann der Versicherungsträger auf formell rechtskräftige Verfügungen zurückkommen, wenn diese zweifellos unrichtig sind und wenn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2011 IV Nr. 71 S. 213, 9C_994/2010 E. 3.2.1; Urteil 9C_760/2010 vom 17. November 2010 E. 2). Diese Grundsätze zur Wiedererwägung gelten analog, wenn es um eine Verfügung geht, mit der eine Hilflosenentschädigung zugesprochen wurde.</w:t>
      </w:r>
    </w:p>
    <w:p>
      <w:r>
        <w:rPr>
          <w:b/>
        </w:rPr>
        <w:t>E. 5.1</w:t>
      </w:r>
    </w:p>
    <w:p>
      <w:r>
        <w:t>Die Vorinstanz gelangte zur Auffassung, die IV-Stelle habe den bei Zusprechung der Hilflosenentschädigung im Dezember 2007 bestehenden Sachverhalt nicht hinreichend abgeklärt. Sie habe weder eine psychiatrische Untersuchung veranlasst noch eine Stellungnahme des Regionalen Ärztlichen Dienstes (RAD) beigezogen. Zudem seien die von Frau Dr. med. T.________ attestierten Einschränkungen nicht nachvollziehbar. Die ursprüngliche Verfügung sei mangels rechtskonformer Leistungszusprechung zweifellos unrichtig. Eine voraussetzungslose Prüfung des aktuellen Leistungsanspruchs zeige, dass die Versicherte durch eine somatoforme Schmerzstörung eingeschränkt ist. Diese begründe keine Invalidität, sondern sei mit einer zumutbaren Willensanstrengung regelmässig überwindbar. Eine Ausnahme, die in einer psychischen Komorbidität oder weiteren, von der Rechtsprechung als relevant bezeichneten Kriterien begründet sein könnte, liege nicht vor. Demgemäss sei nicht zu beanstanden, dass die IV-Stelle gestützt auf den Abklärungsbericht vom 31. Mai 2011 eine Hilflosigkeit verneinte.</w:t>
      </w:r>
    </w:p>
    <w:p>
      <w:r>
        <w:rPr>
          <w:b/>
        </w:rPr>
        <w:t>E. 5.2</w:t>
      </w:r>
    </w:p>
    <w:p>
      <w:r>
        <w:t>Die Versicherte verweist zunächst auf die Aktenlage zum Zeitpunkt der Verfügung vom 4. Dezember 2007, worunter den Abklärungsbericht vom 4. Oktober 2007, welcher in den Verrichtungen Essen und Körperpflege nachvollziehbar eine Einschränkung beschrieben habe. Die Sachverhaltsermittlung durch den Abklärungsdienst der IV-Stelle habe sich mit der ärztlichen Beurteilung gedeckt. Zwar enthielten die Beurteilungen der Frau Dr. med. T.________ und des Abklärungsdienstes notwendigerweise Ermessenszüge. Dies begründe jedoch keine zweifellose Unrichtigkeit. Die Voraussetzungen von Art. 53 Abs. 2 ATSG seien daher nicht gegeben. Sodann habe das kantonale Gericht übersehen, dass die Rechtsprechung zu den somatoformen Schmerzstörungen ( BGE 130 V 352 ) und Fibromyalgien ( BGE 132 V 65 ) die Einholung eines psychiatrischen Gutachtens im Hinblick auf eine Arbeitsunfähigkeit als Folge einer psychischen Erkrankung gebiete. Bei der Hilflosenentschädigung gehe es jedoch nicht um Arbeitsunfähigkeit, weshalb denn auch die Resultate einer Abklärung bei der versicherten Person zu Hause massgebend sind. Eine solche sei im vorliegenden Fall durchgeführt worden. Zu guter Letzt bekräftigte die Beschwerdeführerin ihren Standpunkt, wonach sich der Begriff der Überwindbarkeit auf die Erwerbsunfähigkeit, nicht jedoch auf die Hilflosigkeit, beziehe. Die mit BGE 130 V 352 begründete Schmerzstörungspraxis nehme denn auch auf die durch die fragliche Krankheit verursachte Arbeitsunfähigkeit Bezug, nicht aber auf das Leiden an sich oder die mit diesem verbundene objektive Hilflosigkeit.</w:t>
      </w:r>
    </w:p>
    <w:p>
      <w:r>
        <w:rPr>
          <w:b/>
        </w:rPr>
        <w:t>E. 5.3.1</w:t>
      </w:r>
    </w:p>
    <w:p>
      <w:r>
        <w:t>Den Darlegungen der Beschwerdeführerin ist beizupflichten. Die ursprüngliche Verfügung vom 4. Dezember 2007, mit welcher der Versicherten eine Entschädigung für leichte Hilflosigkeit gewährt wurde, kann nicht als zweifellos unrichtig im Sinne von Art. 53 Abs. 2 ATSG und der Rechtsprechung bezeichnet werden. Die Leistungszusprechung erfolgte nicht aufgrund falsch verstandener Rechtsregeln oder infolge unrichtiger Anwendung der einschlägigen Normen. Vielmehr war eine Wiedererwägung unter den gegebenen Umständen unzulässig, und die Vorinstanz durfte die Revisionsverfügung der Verwaltung vom 11. Oktober 2011 nicht mit dieser substituierten Begründung bestätigen. Denn es geht um materielle Anspruchsvoraussetzungen, deren Beurteilung mit dem Ermessen der rechtsanwendenden Behörde verbunden ist (Einschätzung der Behinderung bei den einzelnen Lebensverrichtungen, Beweiswürdigung). Die Feststellung der entsprechenden Anspruchsvoraussetzungen erscheint vor dem Hintergrund der Sach- und Rechtslage, wie sie sich zum Zeitpunkt der rechtskräftigen Zusprechung der Hilflosenentschädigung am 4. Dezember 2007 präsentiert haben, als vertretbar. Die Annahme zweifelloser Unrichtigkeit scheidet damit aus.</w:t>
      </w:r>
    </w:p>
    <w:p>
      <w:r>
        <w:rPr>
          <w:b/>
        </w:rPr>
        <w:t>E. 5.3.2</w:t>
      </w:r>
    </w:p>
    <w:p>
      <w:r>
        <w:t>Gefolgt werden kann der Beschwerdeführerin grundsätzlich auch insofern, als sie auf die fehlende Rechtsgrundlage für die Anwendung der Überwindbarkeitspraxis bei somatoformen Schmerzstörungen gemäss BGE 130 V 352 im Bereich der Hilflosenentschädigungen hinweist. In der Tat nehmen sowohl Art. 7 Abs. 2 Satz 2 ATSG , wonach eine Erwerbsunfähigkeit nur vorliegt, wenn sie aus objektiver Sicht nicht überwindbar ist, wie auch die Rechtsprechung zum invalidisierenden Charakter einer somatoformen Schmerzstörung oder von anderen pathogenetisch-ätiologisch unklaren syndromalen Beschwerdebildern ohne nachweisbare organische Grundlage (Schmerzstörungspraxis; BGE 130 V 352 , 139 V 346 E. 2) nur Bezug auf die Einschränkung der Erwerbsfähigkeit, verstanden als gesundheitlich bedingter, ganzer oder teilweiser Verlust der Erwerbsmöglichkeiten auf dem ausgeglichenen Arbeitsmarkt (vgl. Art. 7 Abs. 1 ATSG ). Ob die zitierte Rechtsprechung im Bereich der Hilflosenentschädigung in Einzelfällen anwendbar sein könnte, z.B. im Rahmen der lebenspraktischen Begleitung nach Art. 42 Abs. 3 IVG , wonach für Personen, die nur an einer psychischen Gesundheitsbeeinträchtigung leiden, für die Annahme einer Hilflosigkeit mindestens Anspruch auf eine Viertelsrente gegeben sein muss, kann im vorliegenden Fall offenbleiben, da sich diese Frage hier nicht stellt.</w:t>
      </w:r>
    </w:p>
    <w:p>
      <w:r>
        <w:rPr>
          <w:b/>
        </w:rPr>
        <w:t>E. 6</w:t>
      </w:r>
    </w:p>
    <w:p>
      <w:r>
        <w:t>Dem Verfahrensausgang entsprechend sind die Gerichtskosten der unterliegenden IV-Stelle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