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9C_500/2009 vom 24. Juni 2009</w:t>
      </w:r>
    </w:p>
    <w:p>
      <w:r>
        <w:t>Bundesgericht, 2009-06-24, DE</w:t>
      </w:r>
    </w:p>
    <w:p>
      <w:r>
        <w:rPr>
          <w:b/>
        </w:rPr>
        <w:t xml:space="preserve">Quelle: </w:t>
      </w:r>
      <w:r>
        <w:t>https://mcp.opencaselaw.ch/entscheid/bger_9C_500_2009</w:t>
      </w:r>
    </w:p>
    <w:p>
      <w:r>
        <w:t>FR: TF 9C_500/2009 du 24 juin 2009</w:t>
      </w:r>
    </w:p>
    <w:p>
      <w:r>
        <w:t>IT: TF 9C_500/2009 del 24 giugno 2009</w:t>
      </w:r>
    </w:p>
    <w:p>
      <w:pPr>
        <w:pStyle w:val="Heading2"/>
      </w:pPr>
      <w:r>
        <w:t>Erwägungen</w:t>
      </w:r>
    </w:p>
    <w:p>
      <w:r>
        <w:rPr>
          <w:b/>
        </w:rPr>
        <w:t>E. 1</w:t>
      </w:r>
    </w:p>
    <w:p>
      <w:r>
        <w:t>Muss die IV-Stelle zur Abklärung des Sachverhaltes ein Gutachten einer oder eines unabhängigen Sachverständigen einholen, gibt sie der Partei deren oder dessen Namen bekannt. Diese kann den Gutachter aus triftigen Gründen ablehnen und kann Gegenvorschläge machen ( Art. 44 ATSG in Verbindung mit Art. 2 ATSG und Art. 1 Abs. 1 IVG ). Für Sachverständige gelten grundsätzlich die gleichen Ausstands- und Ablehnungsgründe, wie sie für Richter vorgesehen sind. Danach ist Befangenheit anzunehmen, wenn Umstände vorliegen, die in objektiver Weise und nicht bloss auf Grund des subjektiven Empfindens der Partei geeignet sind, Misstrauen in die Unparteilichkeit und Unvoreingenommenheit der sachverständigen Person zu erwecken ( BGE 132 V 93 E. 7.1 S. 109 mit Hinweis).</w:t>
      </w:r>
    </w:p>
    <w:p>
      <w:r>
        <w:t>Über Einwendungen formeller Natur gegen Sachverständige ist in einer selbständig anfechtbaren Zwischenverfügung zu entscheiden. Zu den Einwendungen formeller Natur gehören im Wesentlichen die Ausstandsgründe gemäss Art. 36 Abs. 1 ATSG , welche mit denjenigen nach Art. 10 Abs. 1 VwVG (u.a. ein persönliches Interesse in der Sache, enge verwandtschaftliche oder freundschaftliche Verbundenheit mit einer Partei oder Befangenheit in der Sache aus anderen Gründen) übereinstimmen (SVR 2008 IV Nr. 22, 9C_67/2007 E. 2.2).</w:t>
      </w:r>
    </w:p>
    <w:p>
      <w:r>
        <w:rPr>
          <w:b/>
        </w:rPr>
        <w:t>E. 2</w:t>
      </w:r>
    </w:p>
    <w:p>
      <w:r>
        <w:t>Das kantonale Gericht hat das Festhalten der IV-Stelle an der Begutachtung des Beschwerdeführers durch das Institut X.________ bestätigt.</w:t>
      </w:r>
    </w:p>
    <w:p>
      <w:r>
        <w:rPr>
          <w:b/>
        </w:rPr>
        <w:t>E. 2.1</w:t>
      </w:r>
    </w:p>
    <w:p>
      <w:r>
        <w:t>Es hat erwogen, abgesehen von ganz ausserordentlichen Fällen könnten nur die für eine Behörde tätigen Personen, nicht aber die Behörde als solche befangen sein. Nach der Rechtsprechung (Urteil I 874/06 vom 8. August 2007 E. 4.1 mit Hinweis) seien Ausstandsbegehren gegen sämtliche Mitglieder einer Behörde nur zulässig, wenn gegen jedes einzelne Mitglied spezifische Ausstandsgründe geltend gemacht würden, die über die Kritik hinausgingen, die Behörde als solche sei befangen. Entsprechendes habe auch hinsichtlich einer Medizinischen Abklärungsstelle nach Art. 72bis IVV zu gelten. Der Beschwerdeführer stellt diese Rechtsprechung nicht in Frage.</w:t>
      </w:r>
    </w:p>
    <w:p>
      <w:r>
        <w:rPr>
          <w:b/>
        </w:rPr>
        <w:t>E. 2.2</w:t>
      </w:r>
    </w:p>
    <w:p>
      <w:r>
        <w:t>Weiter hat die Vorinstanz erwogen, das Ausstandsbegehren, welches die mangelnde Unvoreingenommenheit gegenüber dem Beschwerdeführer rüge, richte sich gegen das Institut X.________ als Ganzes. Es würden keine spezifischen Ausstandsgründe gegen die einzelnen, im Schreiben des Instituts X.________ vom 24. November 2008 bereits bekannt gegebenen und mit der Begutachtung betrauten Sachverständigen genannt und kein Grund substanziiert vorgebracht, der den Anschein von Befangenheit dieser Personen zu begründen vermöchte und Anlass gäbe, an ihrer Unabhängigkeit zu zweifeln.</w:t>
      </w:r>
    </w:p>
    <w:p>
      <w:r>
        <w:rPr>
          <w:b/>
        </w:rPr>
        <w:t>E. 2.2.1</w:t>
      </w:r>
    </w:p>
    <w:p>
      <w:r>
        <w:t>In der Beschwerde wird nicht dargetan, inwiefern diese Argumentation Bundesrecht verletzt, insbesondere auf einer offensichtlich unrichtigen Sachverhaltsfeststellung oder unhaltbaren Beweiswürdigung beruht. Sodann trifft zwar zu, dass der ärztliche Mitarbeiterstab des Instituts X.________, worunter die drei im konkreten Fall für die Begutachtung des Beschwerdeführers bestimmten Fachärzte, auf dem Briefpapier des Schreibens vom 24. November 2008 aufgeführt wurde. Dies vermag indessen objektiv nicht den Anschein der Befangenheit der drei Experten zu erwecken, zumal fraglich ist, ob sie vom erwähnten Privatklageverfahren überhaupt Kenntnis haben und wenn ja, wer die drei beklagten Ärzte vertritt.</w:t>
      </w:r>
    </w:p>
    <w:p>
      <w:r>
        <w:rPr>
          <w:b/>
        </w:rPr>
        <w:t>E. 2.2.2</w:t>
      </w:r>
    </w:p>
    <w:p>
      <w:r>
        <w:t>Es kommt dazu, dass es hier nicht um einen Ausstandsgrund zwischen den Sachverständigen und der versicherten Person, sondern deren Rechtsvertreter geht. Dieser nimmt in einem vor dem Strafgericht hängigen Prozess die Interessen von drei Ärzten wahr, gegen welche das Institut X.________ und ein Mitglied der Gesamtleitung des Instituts Privatklage erhoben haben. In dieser oder einer vergleichbaren Situation kann Voreingenommenheit indessen nur bei Vorliegen besonderer Gegebenheiten im Verhältnis zwischen der sachverständigen Person und dem Rechtsvertreter der Partei und nur mit Zurückhaltung angenommen werden (vgl. Urteil 1B_303/2008 E. 2.2 mit Hinweisen; vgl. auch Urteil 8C_509/2008 vom 4. Februar 2009 E. 7). Solche speziellen Umstände sind nicht ersichtlich und werden auch nicht geltend gemacht. In diesem Zusammenhang wird die Feststellung der Vorinstanz, das Urteil 8C_629/2008 vom 3. Dezember 2008 habe keine präjudizielle Bedeutung für den vorliegenden Streit, nicht angefochten.</w:t>
      </w:r>
    </w:p>
    <w:p>
      <w:r>
        <w:rPr>
          <w:b/>
        </w:rPr>
        <w:t>E. 2.2.3</w:t>
      </w:r>
    </w:p>
    <w:p>
      <w:r>
        <w:t>Schliesslich bestehen keine Anhaltspunkte, dass der Rechtsvertreter des Beschwerdeführers im erwähnten Privatklageverfahren vor dem Strafgericht in einer das gebotene und gesetzlich zulässige Mass überschreitenden, die Standesregeln und guten Sitten missachtenden Weise prozessiert, sodass objektiv jeder Arzt der Abklärungsstelle nicht mehr als unbefangen gelten könnte.</w:t>
      </w:r>
    </w:p>
    <w:p>
      <w:r>
        <w:t>Der vorinstanzliche Entscheid verletzt Bundesrecht nicht.</w:t>
      </w:r>
    </w:p>
    <w:p>
      <w:r>
        <w:rPr>
          <w:b/>
        </w:rPr>
        <w:t>E. 3</w:t>
      </w:r>
    </w:p>
    <w:p>
      <w:r>
        <w:t>Die Beschwerde ist offensichtlich unbegründet und wird daher im vereinfachten Verfahren mit summarischer Begründung nach Art. 109 Abs. 2 lit. a und Abs. 3 BGG erledigt.</w:t>
      </w:r>
    </w:p>
    <w:p>
      <w:r>
        <w:rPr>
          <w:b/>
        </w:rPr>
        <w:t>E. 4</w:t>
      </w:r>
    </w:p>
    <w:p>
      <w:r>
        <w:t>Mit dem sofortigen Entscheid in der Sache ist die Frage der aufschiebenden Wirkung der Beschwerde gegenstandslos (Urteil 9C_922/2008 vom 16. Januar 2009 E. 5).</w:t>
      </w:r>
    </w:p>
    <w:p>
      <w:r>
        <w:rPr>
          <w:b/>
        </w:rPr>
        <w:t>E. 5</w:t>
      </w:r>
    </w:p>
    <w:p>
      <w:r>
        <w:t>Dem Begehren um unentgeltliche Rechtspflege kann nicht entsprochen werden, da die Beschwerde als aussichtslos im Sinne von Art. 64 Abs. 1 BGG bezeichnet werden muss ( BGE 129 I 129 E. 2.3.1 S. 135, 128 I 225 E. 2.5.3 S. 236 mit Hinweis). Dem unterliegenden Beschwerdeführer sind jedoch umständehalber keine Gerichtskosten aufzuerlegen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