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4/2015 vom 5. Mai 2015</w:t>
      </w:r>
    </w:p>
    <w:p>
      <w:r>
        <w:t>Bundesgericht, 2015-05-05, DE</w:t>
      </w:r>
    </w:p>
    <w:p>
      <w:r>
        <w:rPr>
          <w:b/>
        </w:rPr>
        <w:t xml:space="preserve">Quelle: </w:t>
      </w:r>
      <w:r>
        <w:t>https://mcp.opencaselaw.ch/entscheid/bger_9C_4_2015</w:t>
      </w:r>
    </w:p>
    <w:p>
      <w:r>
        <w:t>FR: TF 9C 4/2015 du 5 mai 2015</w:t>
      </w:r>
    </w:p>
    <w:p>
      <w:r>
        <w:t>IT: TF 9C 4/2015 del 5 maggio 2015</w:t>
      </w:r>
    </w:p>
    <w:p>
      <w:pPr>
        <w:pStyle w:val="Heading2"/>
      </w:pPr>
      <w:r>
        <w:t>Regeste</w:t>
      </w:r>
    </w:p>
    <w:p>
      <w:r>
        <w:t>Invalidenversicherung (Invalidenrente)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9C_8/2015 vom 9. April 2015 E. 1).</w:t>
      </w:r>
    </w:p>
    <w:p>
      <w:r>
        <w:rPr>
          <w:b/>
        </w:rPr>
        <w:t>E. 2.1</w:t>
      </w:r>
    </w:p>
    <w:p>
      <w:r>
        <w:t>Als Verletzung des rechtlichen Gehörs wird gerügt, das kantonale Gericht habe den Antrag auf eine mündliche Verhandlung mit Befragung von Zeugen nicht berücksichtigt, sondern ihn in antizipierter Beweiswürdigung abgewiesen, obwohl auf eine öffentliche Verhandlung nicht explizit verzichtet worden sei.</w:t>
      </w:r>
    </w:p>
    <w:p>
      <w:r>
        <w:rPr>
          <w:b/>
        </w:rPr>
        <w:t>E. 2.2</w:t>
      </w:r>
    </w:p>
    <w:p>
      <w:r>
        <w:t>Die Durchführung einer öffentlichen Verhandlung ( Art. 6 Ziff. 1 EMRK ; BGE 137 I 16 E. 2.2 S. 18; 120 V 1 E. 3b S. 7) setzt voraus, dass der entsprechende Parteiantrag wenigstens minimal begründet wurde ( BGE 122 V 47 E. 3a und b S. 55 f.). Eine solche Begründung fehlte in der vorinstanzlichen Beschwerde. Es wurde lediglich darauf hingewiesen, die IV-Stelle habe gewisse - bereits schriftlich in den Akten beurkundete - Beweise nicht abnehmen wollen. Dies habe nun im gerichtlichen Verfahren zu geschehen. Der Beschwerdeführer strebte die öffentliche Verhandlung somit im Hinblick auf eine Beweisabnahme an. Der Öffentlichkeitsgrundsatz beinhaltet indes keinen Anspruch darauf, dass bestimmte Beweismittel öffentlich und in Anwesenheit der Parteien abgenommen werden (vgl. Urteil 9C_49/2014 vom 29. Oktober 2014 E. 1).</w:t>
      </w:r>
    </w:p>
    <w:p>
      <w:r>
        <w:rPr>
          <w:b/>
        </w:rPr>
        <w:t>E. 3.1</w:t>
      </w:r>
    </w:p>
    <w:p>
      <w:r>
        <w:t>Weiter wird der Vorwurf einer mangelnden Qualitätskontrolle des Gutachtens und darum die Verletzung des Anspruchs auf ein faires Verfahren gemäss Art. 6 EMRK erhoben. Durch das "vorbehaltlose Akzeptieren des gutachterlichen Diktums ohne eine neutrale und echte qualitative Inhaltskontrolle" sei der Anspruch auf ein faires Verfahren verletzt worden. Es bestehe ein grosser Unterschied zwischen der gutachterlichen Einschätzung und der Würdigung durch die behandelnden Ärzte. Letztere seien sämtliche der Meinung, der Beschwerdeführer sei aufgrund seiner Persönlichkeitsstruktur nicht in der Lage, sich in einer neuen Arbeitsstelle zurechtzufinden. Es greife zu kurz, diese Differenz unter Hinweis auf den höheren Beweiswert des Gutachtens aus dem Recht zu weisen. Im Gutachten werde zwar gesagt, die Hilflosigkeit sei erlernt, aber mit keinem Wort erklärt, ob und wie dies wieder verlernt werden könne.</w:t>
      </w:r>
    </w:p>
    <w:p>
      <w:r>
        <w:rPr>
          <w:b/>
        </w:rPr>
        <w:t>E. 3.2</w:t>
      </w:r>
    </w:p>
    <w:p>
      <w:r>
        <w:t>"Die qualitative Kontrolle (des MEDAS-Gutachtens) durch eine unabhängige Instanz" ist Bestandteil des gerichtlichen Verfahrens; die Anforderungen an den Beweiswert ärztlicher Unterlagen stellt eine frei überprüfbare Rechtsfrage dar (Urteil 9C_559/2012 vom 27. November 2012 E. 1.3). In formeller Hinsicht ist zudem auf die zutreffenden Erwägungen der Vorinstanz (E. 2.1 des vorinstanzlichen Entscheides) hinzuweisen. Wenn sich der Beschwerdeführer auf Berichte behandelnder Ärzte beruft, ist zunächst zu berücksichtigen, dass solche Berichte nach der Rechtsprechung aufgrund der auftragsrechtlichen Vertrauensstellung zum Patienten mit Vorbehalt zu würdigen sind ( BGE 125 V 351 E. 3b/cc S. 353). Die unterschiedliche Beurteilung ergibt sich aus der Divergenz zwischen Behandlungs- und Abklärungsauftrag (vgl. dazu Urteil 8C_260/2011 vom 25. Juli 2011 E. 5.2). Hier erschöpften sich die Abweichungen im Wesentlichen auch in einer anderen Einschätzung des gleichen Sachverhaltes. Zudem kann eine psychiatrische Exploration von der Natur der Sache her nicht ermessensfrei erfolgen. Sie eröffnet dem begutachtenden Psychiater praktisch immer einen Spielraum für verschiedene medizinisch-psychiatrische Interpretationen, was zulässig und zu respektieren ist, sofern der Experte - wie hier -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 BGE 124 I 170 E. 4 S. 175; Urteil 9C_794/2012 vom 4. März 2013 E. 4.2 mit Hinweisen). Soweit der Beschwerdeführer im Bezug auf sich von "sozial inadäquate (r) Verhaltensweise" spricht, so findet sich eine solche Qualifikation weder explizit noch implizit im MEDAS-Gutachten. Darin war daher auch nicht zu erörtern, wie eine solche Verhaltensweise abgelegt werden kann. Der Vorinstanz lässt sich im vorliegenden Punkt keine Bundesrechtswidrigkeit vorwerfen.</w:t>
      </w:r>
    </w:p>
    <w:p>
      <w:r>
        <w:rPr>
          <w:b/>
        </w:rPr>
        <w:t>E. 4.1</w:t>
      </w:r>
    </w:p>
    <w:p>
      <w:r>
        <w:t>Des Weiteren wird gerügt, die Vorinstanz habe durch die Nichtvornahme eines leidensbedingten Abzuges das Invalideneinkommen fehlerhaft festgelegt. Der Beschwerdeführer sei im Verfügungszeitpunkt sechzig Jahre alt gewesen. Er leide an verschiedenen Erkrankungen und verfüge über eine schwierige Persönlichkeitsstruktur. Ein Arbeitgeber und Kollegen müssten deswegen flexibel und tolerant sein. Nebst Erschwernissen persönlicher und arbeitsmarktlicher Art (Konkurrenz zu jüngeren und gesunden Bewerbern, welche weniger Sozialleistungen kosteten) müsste er sich mit einem unterdurchschnittlichen Lohn zufrieden geben. Die Argumentation der Vorinstanz würde deshalb auf eine generelle Verweigerung des Anspruchs auf einen leidensbedingten Abzug hinauslaufen, was per se eine Verletzung von Bundesrecht darstelle.</w:t>
      </w:r>
    </w:p>
    <w:p>
      <w:r>
        <w:rPr>
          <w:b/>
        </w:rPr>
        <w:t>E. 4.2</w:t>
      </w:r>
    </w:p>
    <w:p>
      <w:r>
        <w:t>Praxisgemäss kann von dem anhand der LSE-Tabellenlöhne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ist, ist eine vom Bundesgericht frei überprüfbare Rechtsfrage. Die Höhe des vorgenommenen Abzuges hingegen kann das Bundesgericht lediglich auf Überschreitung, Missbrauch und Unterschreitung des vorinstanzlichen Ermessens überprüfen (vgl. BGE 137 V 71 E. 5.1 S. 72 mit Hinweis).</w:t>
      </w:r>
    </w:p>
    <w:p>
      <w:r>
        <w:rPr>
          <w:b/>
        </w:rPr>
        <w:t>E. 4.3</w:t>
      </w:r>
    </w:p>
    <w:p>
      <w:r>
        <w:t>Die Vorinstanz hat einlässlich begründet, warum sie die Voraussetzungen für einen leidensbedingten Abzug nicht erfüllt sah; darauf kann verwiesen werden (vorinstanzlicher Entscheid E. 3.3.3). Sie hat die Rechtsfrage nach dem leidensbedingten Abzug richtig beantwortet, insbesondere ist sie auf die individuellen Umstände des Beschwerdeführers eingegangen. Selbst wenn sie den von der Verwaltung gewährten Abzug von 10 % bestätigt hätte, hätte der Versicherte bei dem vorinstanzlichen Lohnvergleich, der in der Beschwerde im Übrigen unbestritten geblieben ist,einen Invaliditätsgrad von lediglich 37 % erreicht, was auch keinen Rentenanspruch eingeräumt hätte.</w:t>
      </w:r>
    </w:p>
    <w:p>
      <w:r>
        <w:rPr>
          <w:b/>
        </w:rPr>
        <w:t>E. 5</w:t>
      </w:r>
    </w:p>
    <w:p>
      <w:r>
        <w:t>Die Beschwerde ist offensichtlich unbegründet. Das vorliegende Urteil erfolgt deshalb mit teilweisem Verweis auf den angefochtenen Entscheid ( Art. 109 Abs. 2 lit. a BGG ).</w:t>
      </w:r>
    </w:p>
    <w:p>
      <w:r>
        <w:rPr>
          <w:b/>
        </w:rPr>
        <w:t>E. 6</w:t>
      </w:r>
    </w:p>
    <w:p>
      <w:r>
        <w:t>Das Verfahren ist kostenpflichtig ( Art. 65 BGG ). Die Gerichtskosten werden dem unterliegenden Beschwerdeführer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