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4/2013 vom 19. Dezember 2013</w:t>
      </w:r>
    </w:p>
    <w:p>
      <w:r>
        <w:t>Bundesgericht, 2013-12-19, DE</w:t>
      </w:r>
    </w:p>
    <w:p>
      <w:r>
        <w:rPr>
          <w:b/>
        </w:rPr>
        <w:t xml:space="preserve">Quelle: </w:t>
      </w:r>
      <w:r>
        <w:t>https://mcp.opencaselaw.ch/entscheid/bger_9C_4_2013</w:t>
      </w:r>
    </w:p>
    <w:p>
      <w:r>
        <w:t>FR: TF 9C 4/2013 du 19 décembre 2013</w:t>
      </w:r>
    </w:p>
    <w:p>
      <w:r>
        <w:t>IT: TF 9C 4/2013 del 19 dicembre 2013</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1.2.1</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9C_779/2010 E. 1.1.2 [nicht publ. in: BGE 137 V 446 ]).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w:t>
      </w:r>
    </w:p>
    <w:p>
      <w:r>
        <w:rPr>
          <w:b/>
        </w:rPr>
        <w:t>E. 1.2.2</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begründet sind ( BGE 125 V 351 E. 3a S. 352). Der Arzt muss über die notwendigen fachlichen Qualifikationen verfügen (Urteil 9C_736/2009 vom 26. Januar 2010 E. 2.1). Untersuchungsberichte regionaler ärztlicher Dienste können, sofern sie diesen Anforderungen genügen, einen vergleichbaren Beweiswert wie ein Gutachten haben ( Art. 49 Abs. 2 IVV ; BGE 137 V 210 E. 1.2.1 S. 219; 135 V 254 E. 3.3.2 S. 257; Urteil 9C_999/2010 vom 14. Februar 2011 E. 5.1.2).</w:t>
      </w:r>
    </w:p>
    <w:p>
      <w:r>
        <w:rPr>
          <w:b/>
        </w:rPr>
        <w:t>E. 1.2.3</w:t>
      </w:r>
    </w:p>
    <w:p>
      <w:r>
        <w:t>Dem Sachgericht steht im Bereich der Beweiswürdigung ein erheblicher Ermessensspielraum zu (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mit Hinweisen S. 5).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mit Hinweis S. 246).</w:t>
      </w:r>
    </w:p>
    <w:p>
      <w:r>
        <w:rPr>
          <w:b/>
        </w:rPr>
        <w:t>E. 2.1</w:t>
      </w:r>
    </w:p>
    <w:p>
      <w:r>
        <w:t>Das kantonale Gericht stellte nach eingehender Würdigung der medizinischen Unterlagen entscheidend auf das psychiatrische Gutachten der Dr. med. B.________ vom 30. November 2010 ab. Darin stelle die Gutachterin folgende Diagnosen: Erneute Anpassungsstörung mit Neurasthenie und Regressionstendenzen (ICD-10:F43.23) bei anhaltender, bzw. wiederkehrender, psychosozialer Belastungssituation in der beruflichen Identifizierung sowie im familiären Umfeld (ICD-10:Z56.5/Z56.0; Z63.7; Z59) und neurotisch-negativistische Persönlichkeitsstruktur mit akzentuierten, narzisstischen, histrionischen und passiv-agressiven Persönlichkeitszügen (ICD-10:Z73.1) mit habitueller, chronischer, multipler psychosomatischer Störung (ICD-10:F45.0), dissoziativen Sensibilitäts- und Empfindungsstörungen (ICD-10:F44.6) sowie Tinnitus (ICD-10:F45.8). Die Vorinstanz hielt fest, das psychiatrische Gutachten von Dr. med. B.________ vom 30. November 2010 erfülle grundsätzlich sämtliche Anforderungen an ein beweistaugliches Gutachten. Im Gutachten werde dem Beschwerdeführer für die angestammte Tätigkeit eine 100%ige Arbeitsunfähigkeit und für eine behinderungsangepasste Tätigkeit zunächst eine 50%ige und spätestens nach sechs Monaten eine 100%ige Arbeitsfähigkeit attestiert. Da der Beschwerdeführer weder an einer relevanten Komorbidität leide noch Anhaltspunkte dafür bestünden, dass die habituelle, chronische, multiple psychosomatische Störung, die dissoziativen Sensibilitäts- und Empfindungsstörungen oder der Tinnitus ausnahmsweise nicht überwindbar sein sollen, hätten auch diese Diagnosen keine invalidisierende Wirkung. Hierbei gelte es zu beachten, dass auch die Gutachterin darauf hingewiesen habe, dass die IV-Relevanz der attestierten Arbeitsunfähigkeit aufgrund des rein reaktiven Charakters der psychischen Störung und in Abwesenheit einer krankheitswerten Persönlichkeitsstörung, bei vorwiegend Störungen aus dem somatoformen Bereich, ohne schwere psychiatrische Komorbidität, fraglich sei. Das psychiatrische Gutachten der Dr. med. B.________ bilde zwar eine zuverlässige Beurteilungsgrundlage, doch gehe aus ihrem Gutachten aus rechtlicher Sicht kein invalidisierender Gesundheitsschaden hervor. Zusammenfassend kam die Vorinstanz zum Schluss, dass der Beschwerdeführer aus invalidenversicherungsrechtlicher Sicht nicht in der Arbeitsfähigkeit eingeschränkt ist. Die angefochtene Verfügung der IV-Stelle vom 16. Mai 2011 sei deshalb aufzuheben, und es sei festzustellen, dass der Beschwerdeführer keinen Rentenanspruch habe.</w:t>
      </w:r>
    </w:p>
    <w:p>
      <w:r>
        <w:rPr>
          <w:b/>
        </w:rPr>
        <w:t>E. 2.2</w:t>
      </w:r>
    </w:p>
    <w:p>
      <w:r>
        <w:t>Im Lichte der eingangs erwähnten Beweisregeln und Grundsätze zur Beweiswürdigung ist die vorinstanzliche Sachverhaltsfeststellung und die entsprechende Beweiswürdigung nicht mangelhaft im Sinne von Art. 97 Abs. 1 BGG . Das kantonale Gericht hat sich mit allen relevanten medizinischen Unterlagen auseinandergesetzt und eingehend begründet, weshalb es in medizinischer Hinsicht auf das psychiatrische Gutachten der Dr. med. B.________ vom 30. November 2010 abstellt und weshalb es bei zumutbarer Willensanstrengung von einer vollständigen Arbeitsfähigkeit ausgeht. Das kantonale Gericht hat sich mit den unterschiedlichen Schätzungen der Arbeitsfähigkeit durch verschiedene Ärzte befasst und ausführlich dargelegt, weshalb kein invalidenversicherungsrechtlich relevanter psychischer Gesundheitsschaden vorliegt. Namentlich hat es die diagnostizierte Anpassungsstörung nicht per se als invalidisierendes psychisches Leiden qualifiziert (Urteile 8C_1055/2010 vom 17. Februar 2011 E. 4.3; 9C_408/2010 E. 4.3 mit Hinweisen; 8C_322/2010 vom 9. August 2010 E. 5.2). Der Beschwerdeführer zeigt nicht auf, inwiefern die Erwägungen der Vorinstanz schlechterdings unhaltbar wären. Soweit er formelle Kritik am psychiatrischen Gutachten der Dr. med. B.________ vom 30. November 2010 übt, ist sie unbehelflich. Das Gutachten ist vor Erlass von BGE 137 V 210 in Auftrag gegeben worden, weshalb die in diesem Entscheid festgehaltenen Mitwirkungsrechte, die sich im Übrigen auf eine interdisziplinäre Begutachtung beziehen, ohnehin nicht zum Tragen kommen konnten. Das kantonale Gericht hat dargelegt, weshalb das psychiatrische Gutachten vom 12. Juli 2011 nichts an Beweiswert eingebüsst hat ( BGE 137 V 210 E. 6 Ingress S. 266; Urteil 9C_495/2012 vom 4. Oktober 2012 E. 2.2). Soweit der Beschwerdeführer inhaltliche Kritik am Gutachten übt und dieses nicht als beweistauglich hält, so trägt er lediglich die eigene Sicht der Dinge vor. Er setzt sich nicht mit den entsprechenden Erwägungen des kantonalen Gerichts auseinander und legt nicht dar, inwiefern die vorinstanzliche Argumentation Bundesrecht verletzt. Insbesondere sind seine Vorbringen nicht geeignet, den vorinstanzlichen Schluss, es liege keine invalidenversicherungsrechtlich relevante Arbeitsunfähigkeit vor, als bundesrechtswidrig erscheinen zu lassen. Insgesamt zeigt er nicht auf und ist auch nicht ersichtlich, dass und inwiefern das vorinstanzliche Beweisergebnis schlechterdings nicht mehr vertretbar und damit willkürlich ist oder die rechtlichen Schlussfolgerungen Bundesrecht verletzen.</w:t>
      </w:r>
    </w:p>
    <w:p>
      <w:r>
        <w:rPr>
          <w:b/>
        </w:rPr>
        <w:t>E. 3</w:t>
      </w:r>
    </w:p>
    <w:p>
      <w:r>
        <w:t>Der Beschwerdeführer beanstandet des Weitern, dass das kantonale Gericht keinen Einkommensvergleich durchgeführt hat. Die Vorinstanz hat es bei der Feststellung bewenden lassen, dass der Beschwerdeführer aus invalidenversicherungsrechtlicher Sicht nicht in der Arbeitsfähigkeit eingeschränkt sei. Angesichts des hohen Valideneinkommens und des von der IV-Stelle in der Rentenverfügung vorgenommenen Einkommensvergleichs hätte dazu jedoch Anlass bestanden. Die IV-Stelle ging bei der Bestimmung des Valideneinkommens davon aus, der Beschwerdeführer könnte in seiner angestammten Tätigkeit als Koch in leitender Stellung ein Jahreseinkommen von Fr. 97'802.90 erzielen. Diese Stelle hat der Beschwerdeführer im gegenseitigen Einvernehmen mit dem Arbeitgeber aufgegeben. Hiezu haben gesundheitliche Gründe beigetragen. Die Klinik Y.________ hielt im Bericht vom 3. März 2009 fest, dass ab 1. März 2009 voraussichtlich eine 100%ige Arbeitsfähigkeit bestehe, wobei eine Rückkehr an den bisherigen Arbeitsplatz aus gesundheitlichen Gründen nicht befürwortet werden könne. Diese Auffassung wird auch in weiteren ärztlichen Unterlagen vertreten (Dr. med. M.________ vom 18. Januar 2009; med. pract. N.________ vom 27. März 2009; Gutachten der Dr. med. B.________ vom 30. November 2010). Das Invalideneinkommen setzte die IV-Stelle gestützt auf die Tabellenlöhne des Bundesamtes für Statistik (LSE; Anforderungsniveau 4) für das Jahr 2011 auf Fr. 63'990.90 fest, welchen Betrag es um 10 % verringerte, da zusätzlich Zeit- und Termindruck vermieden werden soll. Auf diese Weise ermittelte sie eine Erwerbseinbusse von Fr. 40'211.09 und damit einen Invaliditätsgrad von 41 %. Da die IV-Stelle unter Berücksichtigung des Stellenverlustes einen Einkommensvergleich durchgeführt hat, hätte die Vorinstanz im Rahmen der reformatio in peius im angefochtenen Entscheid auch tatsächliche Feststellungen hiezu treffen, sich damit auseinandersetzen und einen Einkommensvergleich durchführen müssen. Die Sache ist daher an die Vorinstanz zurückzuweisen (vgl. Art. 112 Abs. 3 BGG ), damit sie unter Beachtung der vollen Zumutbarkeit in der erlernten Tätigkeit als (nicht leitender) Koch den Invaliditätsgrad im Rahmen eines Einkommensvergleichs ermittle und über den Anspruch auf eine Invalidenrente neu entscheide.</w:t>
      </w:r>
    </w:p>
    <w:p>
      <w:r>
        <w:rPr>
          <w:b/>
        </w:rPr>
        <w:t>E. 4</w:t>
      </w:r>
    </w:p>
    <w:p>
      <w:r>
        <w:t>Das Verfahren ist kostenpflichtig. Die unterliegende IV-Stelle hat die Gerichtskosten zu tragen ( Art. 66 Abs. 1 BGG ). Der Beschwerdeführer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