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9C_4/2009 vom 20. November 2009</w:t>
      </w:r>
    </w:p>
    <w:p>
      <w:r>
        <w:t>Bundesgericht, 2009-11-20, FR</w:t>
      </w:r>
    </w:p>
    <w:p>
      <w:r>
        <w:rPr>
          <w:b/>
        </w:rPr>
        <w:t xml:space="preserve">Quelle: </w:t>
      </w:r>
      <w:r>
        <w:t>https://mcp.opencaselaw.ch/entscheid/bger_9C_4_2009</w:t>
      </w:r>
    </w:p>
    <w:p>
      <w:r>
        <w:t>FR: TF 9C_4/2009 du 20 novembre 2009</w:t>
      </w:r>
    </w:p>
    <w:p>
      <w:r>
        <w:t>IT: TF 9C_4/2009 del 20 novembre 2009</w:t>
      </w:r>
    </w:p>
    <w:p>
      <w:pPr>
        <w:pStyle w:val="Heading2"/>
      </w:pPr>
      <w:r>
        <w:t>Erwägungen</w:t>
      </w:r>
    </w:p>
    <w:p>
      <w:r>
        <w:rPr>
          <w:b/>
        </w:rPr>
        <w:t>E. 1.1</w:t>
      </w:r>
    </w:p>
    <w:p>
      <w:r>
        <w:t>Le recours en matière de droit public peut être formé pour violation du droit, tel qu'il est délimité par les art. 95 et 96 LTF .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1.2</w:t>
      </w:r>
    </w:p>
    <w:p>
      <w:r>
        <w:t>La motivation du recours doit être complète. Le renvoi à la détermination du 14 décembre 2007 devant la juridiction cantonale n'est dès lors pas admissible (FLORENCE AUBRY GIRARDIN, in: Commentaire de la LTF, Berne 2009, N. 33 ad Art. 42 LTF ; YVES DONZALLAZ, Commentaire de la Loi sur le Tribunal fédéral, Berne 2008, N. 919 ad Art. 42 LTF ).</w:t>
      </w:r>
    </w:p>
    <w:p>
      <w:r>
        <w:rPr>
          <w:b/>
        </w:rPr>
        <w:t>E. 1.3</w:t>
      </w:r>
    </w:p>
    <w:p>
      <w:r>
        <w:t>Devant la Cour de céans, la recourante se réfère à une lettre des praticiens de la Clinique Y.________ du 7 décembre 2008. Elle produit une prise de position du 15 décembre 2008 des docteurs I.________ et G.________ et de la psychologue-psychothérapeute E.________.</w:t>
      </w:r>
    </w:p>
    <w:p>
      <w:r>
        <w:t>Toutefois, le jugement attaqué du 2 septembre 2008 ne justifie pas pour la première fois de soulever ces moyens et la recourante ne montre pas en quoi les conditions d'une exception à l'interdiction des faits ou moyens de preuve nouveaux selon l' art. 99 al. 1 LTF sont remplies (Ulrich Meyer, in: Niggli/Uebersax/Wiprächtiger, Basler Kommentar zum BGG, Basel 2008, N. 44 à 47 ad Art. 99 BGG; Bernard Corboz, in: Commentaire de la LTF, Berne 2009, N. 19 ad Art. 99 LTF ). Ces moyens ne sont dès lors pas admissibles.</w:t>
      </w:r>
    </w:p>
    <w:p>
      <w:r>
        <w:rPr>
          <w:b/>
        </w:rPr>
        <w:t>E. 2</w:t>
      </w:r>
    </w:p>
    <w:p>
      <w:r>
        <w:t>Le litige porte sur le point de savoir si la recourante a droit à une rente d'invalidité, singulièrement a trait aux incidences sur sa capacité de travail et de gain des atteintes à la santé qu'elle présente sur le plan psychiatrique.</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2.2</w:t>
      </w:r>
    </w:p>
    <w:p>
      <w:r>
        <w:t>Le jugement entrepris expose correctement les principes jurisprudentiels applicables en cas de troubles somatoformes douloureux persistants ( ATF 131 V 49 , 130 V 352) ainsi qu'en cas de fibromyalgie ( ATF 132 V 65 ) et les règles sur la valeur probante des rapports médicaux. On peut y renvoyer.</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Après avoir reconnu une pleine valeur probante à l'expertise du docteur C.________, notamment en écartant les griefs de la recourante quant à la durée de l'entretien avec l'expert et en relevant les qualités formelles intrinsèques du rapport d'expertise, la juridiction cantonale a fait siennes les conclusions de l'expert judiciaire. Ainsi, la recourante présentait un syndrome somatoforme douloureux persistant et un trouble dépressif majeur chronique, dont l'état actuel était sévère. Le diagnostic de syndrome douloureux somatoforme persistant évoqué par différents praticiens était retenu plutôt que celui de fibromyalgie mentionné par les médecins de la Clinique Y.________, pour les raisons exposées par l'expert, le débat relatif à la dénomination diagnostique la mieux appropriée se révélant au demeurant plutôt secondaire, dans la mesure où seule la répercussion de l'atteinte à la santé diagnostiquée sur la capacité de travail importait pour juger du droit aux prestations. Le diagnostic de trouble dépressif majeur (état actuel sévère) était retenu, mais il se situait à la limite inférieure de la qualification de sévère. N'ayant pas les caractéristiques d'emblée incapacitantes que sont le ralentissement psychomoteur marqué et l'incapacité à penser et à se concentrer, aucune incapacité de travail lui était corrélée, selon les conclusions de l'expert qui devaient être préférées sur ce point à celles peu motivées des médecins de la Clinique Y.________ et au regard de la différence consacrée par la jurisprudence entre le mandat d'expert et celui de médecin traitant. Aussi, en l'absence de comorbidité psychiatrique invalidante, la recourante ne présentant aucune incapacité de travail du point de vue psychiatrique, et dans la mesure où elle ne réunissait pas en sa personne plusieurs des autres critères consacrés par la jurisprudence, les premiers juges ont considéré que le trouble somatoforme douloureux diagnostiqué ne se manifestait pas avec une sévérité telle, que d'un point de vue objectif, on ne puisse plus raisonnablement exiger d'elle un effort de volonté pour se réintégrer dans le processus du travail ou dans une activité adaptée. Aussi la décision de l'administration devait-elle être confirmée.</w:t>
      </w:r>
    </w:p>
    <w:p>
      <w:r>
        <w:t>Les griefs soulevés par la recourante en instance fédérale contre le jugement cantonal, essentiellement déjà formulés devant la juridiction inférieure, ne permettent pas de retenir que les constations de fait des premiers juges soient manifestement inexactes ou aient été établies de manière contraire au droit, ni que les conclusions juridiques qu'ils en ont tirés soient contraires au droit fédéral. Ainsi, les premiers juges ont-ils déjà expliqué de manière convaincante les raisons qui les ont amenés à attacher valeur probante à l'expertise du docteur C.________ et à retenir les diagnostics posés par l'expert ainsi que la capacité de travail fixée par ce dernier plutôt que ceux et celle invoqués par les médecins de la Clinique Y.________. Sur ces différents points, déjà débattus en instance cantonale, la recourante, qui s'en prend une nouvelle fois à la durée de l'entretien avec l'expert, ne démontre pas que des éléments objectivement vérifiables et suffisamment pertinents auraient été ignorés dans le cadre de l'expertise judiciaire. A cet égard, les premiers juges ont expliqué de manière pertinente qu'au regard des nombreuses indications médicales au dossier qui permettaient de cerner les contours de la personnalité de l'assurée, l'examen personnel devant alors permettre à l'expert d'infirmer ou de confirmer sa première appréciation et de la compléter sur certains points, on ne voyait pas les raisons pour lesquelles la durée de l'entretien aurait empêché l'expert de cerner de manière adéquate la personnalité de la patiente et de se déterminer sur l'existence du trouble ainsi que sur la répercussion de celui-ci sur sa capacité à reprendre une activité lucrative. En définitive, l'argumentation de la recourante tend à substituer sa propre appréciation de la situation médicale à celle retenue par la juridiction cantonale.</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