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49/2016 vom 26. August 2016</w:t>
      </w:r>
    </w:p>
    <w:p>
      <w:r>
        <w:t>Bundesgericht, 2016-08-26, DE</w:t>
      </w:r>
    </w:p>
    <w:p>
      <w:r>
        <w:rPr>
          <w:b/>
        </w:rPr>
        <w:t xml:space="preserve">Quelle: </w:t>
      </w:r>
      <w:r>
        <w:t>https://mcp.opencaselaw.ch/entscheid/bger_9C_49_2016</w:t>
      </w:r>
    </w:p>
    <w:p>
      <w:r>
        <w:t>FR: TF 9C 49/2016 du 26 août 2016</w:t>
      </w:r>
    </w:p>
    <w:p>
      <w:r>
        <w:t>IT: TF 9C 49/2016 del 26 agosto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einzig, ob die Beschwerdeführerin während dem Weiterbezug der Rente nach Massgabe von lit. a Abs. 3 SchlBest. (längstens bis Ende September 2016) Anspruch auf Weiterausrichtung der per Ende März 2015 aufgehobenen Hilflosenentschädigung hat.</w:t>
      </w:r>
    </w:p>
    <w:p>
      <w:r>
        <w:rPr>
          <w:b/>
        </w:rPr>
        <w:t>E. 2.2</w:t>
      </w:r>
    </w:p>
    <w:p>
      <w:r>
        <w:t>Die Vorinstanz hat die gesetzlichen Bestimmungen und die von der Rechtsprechung dazu entwickelten Grundsätze, namentlich diejenigen zum Anspruch auf Hilflosenentschädigung ( Art. 9 ATSG ; Art. 42 Abs. 1 und 2 IVG ; Art. 37 IVV ) und zum Tatbestand der lebenspraktischen Begleitung ( Art. 42 Abs. 3 IVG ; Art. 38 Abs. 1 und 2 IVV ; BGE 133 V 450 ) zutreffend dargelegt. Darauf wird verwiesen.</w:t>
      </w:r>
    </w:p>
    <w:p>
      <w:r>
        <w:rPr>
          <w:b/>
        </w:rPr>
        <w:t>E. 3</w:t>
      </w:r>
    </w:p>
    <w:p>
      <w:r>
        <w:t>Das kantonale Gericht erwog, der ursprünglichen Zusprache einer Invalidenrente habe unbestrittenermassen eine psychische Beeinträchtigung der Gesundheit zugrunde gelegen. Mit Verfügung vom 21. August 2014 habe die IV-Stelle die Invalidenrente gestützt auf die SchlBest. aufgehoben. Diese Verfügung sei unangefochten in Rechtskraft erwachsen. Mithin seien seither die Voraussetzungen für eine Invalidenrente grundsätzlich nicht mehr gegeben, weshalb die Beschwerdeführerin gemäss Art. 38 Abs. 2 IVV auch keinen Anspruch mehr auf Hilflosenentschädigung habe. Dass die Rente gestützt auf Abs. 3 der SchlBest. während der Inanspruchnahme von Massnahmen zur Wiedereingliederung weiterhin befristet ausbezahlt werde, ändere daran nichts, basiere diese Weiterausrichtung doch auf einer anderen Grundlage.</w:t>
      </w:r>
    </w:p>
    <w:p>
      <w:r>
        <w:rPr>
          <w:b/>
        </w:rPr>
        <w:t>E. 4</w:t>
      </w:r>
    </w:p>
    <w:p>
      <w:r>
        <w:t>Was die Beschwerdeführerin dagegen vorbringt, vermag nicht durchzudringen:</w:t>
      </w:r>
    </w:p>
    <w:p>
      <w:r>
        <w:rPr>
          <w:b/>
        </w:rPr>
        <w:t>E. 4.1</w:t>
      </w:r>
    </w:p>
    <w:p>
      <w:r>
        <w:t>Unbehelflich ist die Rüge, es habe sich am Gesundheitszustand, welcher zur Ausrichtung der Hilflosenentschädigung geführt habe, nichts verändert und die SchlBest. seien auf die Hilflosenentschädigung nicht anwendbar. Die Beschwerdeführerin verkennt, dass die Hilflosenentschädigung nicht wegen einer Verbesserung des Gesundheitszustands aufgehoben wurde, sondern weil sie die Voraussetzungen gemäss Art. 42 Abs. 3 IVG und Art. 38 Abs. 2 IVV - konkret die Voraussetzung, dass bei Beeinträchtigung lediglich der psychischen Gesundheit für die Annahme einer Hilflosigkeit mindestens ein Anspruch auf eine Viertelsrente gegeben sein muss - nicht mehr erfüllt. Die SchlBest. waren dabei einzig insoweit von Belang, als diese zu der im vorliegenden Verfahren nicht mehr streitigen Aufhebung des Rentenanspruchs führten.</w:t>
      </w:r>
    </w:p>
    <w:p>
      <w:r>
        <w:rPr>
          <w:b/>
        </w:rPr>
        <w:t>E. 4.2</w:t>
      </w:r>
    </w:p>
    <w:p>
      <w:r>
        <w:t>Insoweit die Beschwerdeführerin behauptet, sie habe für die Dauer der Eingliederungsmassnahmen weiterhin Anspruch auf die bisherige Rente, trägt sie dem Wortlaut der SchlBest. - obwohl sie sich gerade darauf beruft - nicht genügend Rechnung (zum Wortlaut als Ausgangspunkt und Grenze einer jeden Auslegung vgl. BGE 140 V 449 E. 4.2 S. 455 mit Hinweisen). Gemäss Abs. 1 der SchlBest. werden Renten, die bei pathogenetisch-ätiologisch unklaren syndromalen Beschwerdebildern ohne nachweisbare organische Grundlage gesprochen wurden, innerhalb von drei Jahren nach Inkrafttreten dieser Änderung überprüft. Sind die Voraussetzungen nach Art. 7 ATSG nicht erfüllt, wird die Rente herabgesetzt oder aufgehoben , auch wenn die Voraussetzungen von Art. 17 Abs. 1 ATSG nicht erfüllt sind. Gemäss Abs. 2 der SchlBest. hat die Bezügerin bei Herabsetzung oder Aufhebung der Rente Anspruch auf Massnahmen zur Wiedereingliederung nach Art. 8a IVG . Dass die Rente gemäss Abs. 3 bis zum Abschluss der Massnahme, längstens aber während zwei Jahren weiterhin ausgerichtet wird, ändert an deren Herabsetzung bzw. Aufhebung nichts. Zwar mag die Formulierung, die Rente werde weiterhin ausgerichtet, prima vista Glauben machen, es bestehe weiterhin Anspruch auf die bisherige Rente. Dass dem nicht so ist, geht indessen ohne Weiteres aus der weiteren Formulierung von Abs. 3 hervor, wo explizit von einer Weiterausrichtung ab dem Zeitpunkt der Aufhebung oder Herabsetzung gesprochen wird. Wie das BSV vernehmlassend richtig ausführt, wird die Rente - zu verstehen als die lediglich betragsmässig gleiche Leistung, wie sie im Rahmen der aufgehobenen Rente ausgerichtet worden war - gemäss Abs. 3 der SchlBest. unter einem anderen Rechtstitel und als zu den Eingliederungsmassnahmen akzessorische Leistung befristet weiter ausgerichtet. Davon, dass die Beschwerdeführerin, wie sie behauptet, weiterhin Anspruch auf die bisherige Rente habe, kann nicht die Rede sein. Gründe für eine von diesem - zumindest im Ergebnis - klaren Wortlaut abweichende Auslegung sind weder ersichtlich noch von der Beschwerdeführerin geltend gemacht. Es rechtfertigt sich daher nicht davon auszugehen, dass im Sinne von Art. 42 Abs. 3 IVG und Art. 38 Abs. 2 IVV weiterhin "mindestens ein Anspruch auf eine Viertelsrente" bestehe. Der angefochtene Entscheid ist bezüglich Aufhebung der Hilflosenentschädigung rechtens.</w:t>
      </w:r>
    </w:p>
    <w:p>
      <w:r>
        <w:rPr>
          <w:b/>
        </w:rPr>
        <w:t>E. 5</w:t>
      </w:r>
    </w:p>
    <w:p>
      <w:r>
        <w:t>Zu prüfen bleibt der Antrag betreffend die unentgeltliche Rechtspflege im vorinstanzlichen Verfahren.</w:t>
      </w:r>
    </w:p>
    <w:p>
      <w:r>
        <w:rPr>
          <w:b/>
        </w:rPr>
        <w:t>E. 5.1</w:t>
      </w:r>
    </w:p>
    <w:p>
      <w:r>
        <w:t>Die Vorinstanz wies das Gesuch um unentgeltliche Rechtspflege wegen Aussichtslosigkeit ab. 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 Prozessbegehren sind dabei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Ob im Einzelfall genügend Erfolgsaussichten bestehen, beurteilt sich nach den Verhältnissen zur Zeit, in der das Gesuch um unentgeltliche Rechtspflege gestellt wird. Wie es sich damit verhält, prüft das Bundesgericht in rechtlicher Hinsicht mit freier Kognition ( BGE 129 I 129 E. 2.3.1 S. 135 f. ; 128 I 225 E. 2.5.3 S. 236).</w:t>
      </w:r>
    </w:p>
    <w:p>
      <w:r>
        <w:rPr>
          <w:b/>
        </w:rPr>
        <w:t>E. 5.2</w:t>
      </w:r>
    </w:p>
    <w:p>
      <w:r>
        <w:t>Auch wenn der Wortlaut der SchlBest. im Ergebnis keinen Zweifel darüber zulässt, dass der Rentenanspruch der Beschwerdeführerin mit Verfügung vom 21. August 2014 aufgehoben wurde (vgl. E. 4.2 hievor), wird der bisherige Rentenbetrag - wenn auch nur befristet und lediglich als akzessorische Leistung zu den Eingliederungsmassnahmen - immerhin weiter ausgerichtet. In Anbetracht dessen sowie unter Berücksichtigung des Umstands, dass sich das Bundesgericht zu der hier streitigen Frage bisher noch nicht geäussert hat, rechtfertigt sich nicht davon auszugehen, die Beschwerde vom 5. März 2015 sei zum Vornherein aussichtslos gewesen. Ob auch die übrigen Voraussetzungen des Anspruchs auf unentgeltliche Rechtspflege (vgl. E. 5.1 hievor) erfüllt waren, lässt sich gestützt auf die vorliegende Aktenlage nicht abschliessend beantworten. Die Sache ist deshalb betreffend Klärung des Anspruchs auf unentgeltliche Rechtspflege an die Vorinstanz zurückzuweisen, wobei diese zu berücksichtigen haben wird, dass die Beschwerdeführerin nicht durch eine patentierte Anwältin vertreten ist.</w:t>
      </w:r>
    </w:p>
    <w:p>
      <w:r>
        <w:rPr>
          <w:b/>
        </w:rPr>
        <w:t>E. 6</w:t>
      </w:r>
    </w:p>
    <w:p>
      <w:r>
        <w:t>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