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9C_497/2013 vom 30. November 2013</w:t>
      </w:r>
    </w:p>
    <w:p>
      <w:r>
        <w:t>Bundesgericht, 2013-11-30, DE</w:t>
      </w:r>
    </w:p>
    <w:p>
      <w:r>
        <w:rPr>
          <w:b/>
        </w:rPr>
        <w:t xml:space="preserve">Quelle: </w:t>
      </w:r>
      <w:r>
        <w:t>https://mcp.opencaselaw.ch/entscheid/bger_9C_497_2013</w:t>
      </w:r>
    </w:p>
    <w:p>
      <w:r>
        <w:t>FR: TF 9C_497/2013 du 30 novembre 2013</w:t>
      </w:r>
    </w:p>
    <w:p>
      <w:r>
        <w:t>IT: TF 9C_497/2013 del 30 novembre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In formeller Hinsicht hat das kantonale Gericht im Umstand, dass die IV-Stelle vor Erlass der Verfügung vom 22. Dezember 2012 kein erneutes Vorbescheidverfahren durchgeführt hatte, eine Verletzung des Anspruchs auf rechtliches Gehör erblickt. Diese hat es indessen als geheilt betrachtet, weil die Rückweisung der Sache zu unnötigen Verzögerungen und formalistischem Leerlauf führe. Was die materiellen Aspekte betrifft, so hat die Vorinstanz gestützt auf das Gutachten des medizinischen Abklärungsinstitutes X.________ vom 17. November 2010 einen verbesserten Gesundheitszustand sowie eine 80-prozentige, "vollschichtige" Arbeitsfähigkeit für körperlich leichte, leidensangepasste Tätigkeiten ab Oktober 2010 festgestellt. Für den Einkommensvergleich hat sie das Valideneinkommen auf Fr. 68'868.- und das Invalideneinkommen auf Fr. 44'479.- festgesetzt, woraus ein rentenausschliessender Invaliditätsgrad von 35 % resultiert. Weiter hat das kantonale Gericht festgestellt, der Versicherte sei bei Erlass der rentenaufhebenden Verfügung vom 22. Dezember 2011 fast 59-jährig gewesen und habe während rund 13,5 Jahren eine ganze Invalidenrente bezogen. Dennoch ist es der Auffassung, objektiv stehe einer Selbsteingliederung des Versicherten nichts entgegen, weshalb die Verwaltung von einer weiteren Prüfung der Verwertbarkeit der wiedergewonnenen Arbeitsfähigkeit habe absehen dürfen. Folglich hat es die Rentenaufhebung auf Ende Januar 2012 bestätigt.</w:t>
      </w:r>
    </w:p>
    <w:p>
      <w:r>
        <w:rPr>
          <w:b/>
        </w:rPr>
        <w:t>E. 3.1</w:t>
      </w:r>
    </w:p>
    <w:p>
      <w:r>
        <w:t>Es ist nicht ersichtlich und wird auch nicht (substanziiert) geltend gemacht, dass die vorinstanzliche Würdigung der medizinischen Unterlagen sowie die darauf beruhenden Feststellungen betreffend den Gesundheitszustand und die Arbeitsfähigkeit (vgl. Urteil 9C_128/2013 vom 4. November 2013 E. 3.2 mit Hinweisen) offensichtlich unrichtig sein oder auf einer Rechtsverletzung beruhen sollten. Somit bleiben sie für das Bundesgericht verbindlich (E. 1) und besteht auch kein Anlass zur beantragten Rückweisung zwecks weiterer medizinischer Abklärungen.</w:t>
      </w:r>
    </w:p>
    <w:p>
      <w:r>
        <w:t>Was die Festsetzung des Invalideneinkommens anbelangt, so hat die Vorinstanz einen Tabellenlohn der Lohnstrukturerhebung des Bundesamtes für Statistik (LSE) herangezogen und unter anderem einen Leidensabzug von 10 % berücksichtigt (vgl. BGE 135 V 297 E. 5.2 S. 301; 126 V 75 E. 5b/aa-cc S. 80). Dessen Höhe betrifft eine typische Ermessensfrage,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 Inwiefern dies angesichts der - plausiblen - vorinstanzlichen Begründung des Abzugs resp. dessen Höhe zutreffen soll, ist nicht erkennbar und wird ebenfalls nicht nachvollziehbar dargelegt. Die übrigen Faktoren der Invaliditätsbemessung werden nicht beanstandet, weshalb weiterhin grundsätzlich von einem Invaliditätsgrad von 35 % auszugehen ist.</w:t>
      </w:r>
    </w:p>
    <w:p>
      <w:r>
        <w:rPr>
          <w:b/>
        </w:rPr>
        <w:t>E. 3.2.1</w:t>
      </w:r>
    </w:p>
    <w:p>
      <w:r>
        <w:t>Eine Invaliditätsbemessung nach Art. 16 ATSG setzt auch im Revisionsfall ( Art. 17 ATSG ) voraus, dass angezeigte Eingliederungsmassnahmen durchgeführt worden sind. In der Regel zieht der anspruchserhebliche Zugewinn an Leistungsfähigkeit kaum zusätzlichen Eingliederungsbedarf nach sich (SVR 2011 IV Nr. 30 S. 86, 9C_163/2009 E. 4.1 und 4.2.2; SZS 2011 S. 71, 9C_768/2009 E. 4.1, je mit zahlreichen Hinweisen; Urteil 9C_675/2010 E. 5.1 und 5.2). Hingegen ist der Ausnahmetatbestand der Notwendigkeit (vorgängiger) befähigender beruflicher Massnahmen als erfüllt zu betrachten, wenn die Herabsetzung oder Aufhebung der Invalidenrente eine versicherte Person betrifft, die das 55. Altersjahr zurückgelegt oder die Rente seit mehr als 15 Jahren bezogen hat (SVR 2011 IV Nr. 73 S. 220, 9C_228/2010 E. 3.3-3.5; Urteil 9C_128/2013 vom 4. November 2013 E. 4.1).</w:t>
      </w:r>
    </w:p>
    <w:p>
      <w:r>
        <w:rPr>
          <w:b/>
        </w:rPr>
        <w:t>E. 3.2.2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 Art. 21 Abs. 4 ATSG [SR 830.1]).</w:t>
      </w:r>
    </w:p>
    <w:p>
      <w:r>
        <w:rPr>
          <w:b/>
        </w:rPr>
        <w:t>E. 3.3</w:t>
      </w:r>
    </w:p>
    <w:p>
      <w:r>
        <w:t>Mit Blick auf die verbindlichen (E. 1) vorinstanzlichen Feststellungen betreffend das Alter und den Rentenbezug des Versicherten (E. 2) ist diesem - entgegen der vorinstanzlichen Auffassung - objektiv betrachtet eine Selbsteingliederung grundsätzlich nicht zumutbar (E. 3.2.1; vgl. auch Urteil 9C_128/2013 vom 4. November 2013 E. 4.3).</w:t>
      </w:r>
    </w:p>
    <w:p>
      <w:r>
        <w:t>Zwar hat das kantonale Gericht - ebenfalls verbindlich (E. 1) - festgestellt, das Eingliederungsgespräch habe darin geendet, dass der Versicherte sich nicht in der Lage gesehen habe, irgendeiner Erwerbstätigkeit nachzugehen und den Eindruck hinterlassen habe, kaum die Motivation für Reintegrationsbemühungen aufzubringen. Die fehlende Berufserfahrung werde bei der Einstufung in das Niveau Hilfsarbeiten im Rahmen der Festsetzung des Invalideneinkommens berücksichtigt. Zudem verfüge der Versicherte über relativ gute Deutschkenntnisse. Diese Umstände sind indessen nicht solcherart, dass sie auf die Zumutbarkeit der Selbsteingliederung schliessen lassen (vgl. etwa Urteil 9C_68/2011 vom 16. Mai 2011 E. 3.3 in fine). Es ist ihnen daher auch nicht mit einer direkten Rentenaufhebung, sondern mit der Durchführung des Mahn- und Bedenkzeitverfahrens (E. 3.2.2) zu begegnen (Urteile 9C_128/2013 vom 4. November 2013 E. 4.3; 9C_368/2012 vom 28. Dezember 2012 E. 3.3; 8C_338/2012 vom 28. August 2012 E. 4.2.2), wie der Beschwerdeführer zu Recht geltend macht. Ein solches ist nicht aktenkundig, weshalb die IV-Stelle die entsprechenden Vorkehren zu treffen hat. Anschliessend wird sie - nach allfälliger Durchführung angezeigter Eingliederungsmassnahmen und unter Berücksichtigung des ausgeglichenen Arbeitsmarktes (vgl. Art. 7 Abs. 1 ATSG ) - über den Rentenanspruch neu verfügen.</w:t>
      </w:r>
    </w:p>
    <w:p>
      <w:r>
        <w:rPr>
          <w:b/>
        </w:rPr>
        <w:t>E. 3.4</w:t>
      </w:r>
    </w:p>
    <w:p>
      <w:r>
        <w:t>Bei diesem Ergebnis braucht die Frage, ob die Verletzung des Anspruchs auf rechtliches Gehör im Zusammenhang mit der Unterlassung des Vorbescheidverfahrens (vgl. Art. 57a Abs. 1 IVG ) als geheilt betrachtet werden kann, nicht beantwortet zu werden (vgl. immerhin BGE 134 V 97 E. 2.9.2 S. 108 und Urteil 9C_617/2009 vom 15. Januar 2010 E. 4.2.4).</w:t>
      </w:r>
    </w:p>
    <w:p>
      <w:r>
        <w:rPr>
          <w:b/>
        </w:rPr>
        <w:t>E. 4</w:t>
      </w:r>
    </w:p>
    <w:p>
      <w:r>
        <w:t>Dem Ausgang des Verfahrens entsprechend sind die Gerichtskosten der Beschwerdegegnerin aufzuerlegen ( Art. 66 Abs. 1 BGG ; Urteil 9C_768/2009 vom 10. September 2010 E. 5). Der obsiegende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