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9C_497/2007 vom 23. November 2007</w:t>
      </w:r>
    </w:p>
    <w:p>
      <w:r>
        <w:t>Bundesgericht, 2007-11-23, DE</w:t>
      </w:r>
    </w:p>
    <w:p>
      <w:r>
        <w:rPr>
          <w:b/>
        </w:rPr>
        <w:t xml:space="preserve">Quelle: </w:t>
      </w:r>
      <w:r>
        <w:t>https://mcp.opencaselaw.ch/entscheid/bger_9C_497_2007</w:t>
      </w:r>
    </w:p>
    <w:p>
      <w:r>
        <w:t>FR: TF 9C_497/2007 du 23 novembre 2007</w:t>
      </w:r>
    </w:p>
    <w:p>
      <w:r>
        <w:t>IT: TF 9C_497/2007 del 23 novembre 2007</w:t>
      </w:r>
    </w:p>
    <w:p>
      <w:pPr>
        <w:pStyle w:val="Heading2"/>
      </w:pPr>
      <w:r>
        <w:t>Volltext</w:t>
      </w:r>
    </w:p>
    <w:p>
      <w:r>
        <w:t>Tribunale federale</w:t>
      </w:r>
    </w:p>
    <w:p>
      <w:r>
        <w:t>Tribunal federal</w:t>
      </w:r>
    </w:p>
    <w:p>
      <w:r>
        <w:t>{T 0/2}</w:t>
      </w:r>
    </w:p>
    <w:p>
      <w:r>
        <w:t>9C_497/2007</w:t>
      </w:r>
    </w:p>
    <w:p>
      <w:r>
        <w:t>Urteil vom 23. November 2007</w:t>
      </w:r>
    </w:p>
    <w:p>
      <w:r>
        <w:t>II. sozialrechtliche Abteilung</w:t>
      </w:r>
    </w:p>
    <w:p>
      <w:r>
        <w:t>Besetzung</w:t>
      </w:r>
    </w:p>
    <w:p>
      <w:r>
        <w:t>Bundesrichter U. Meyer, Präsident,</w:t>
      </w:r>
    </w:p>
    <w:p>
      <w:r>
        <w:t>Gerichtsschreiber Attinger.</w:t>
      </w:r>
    </w:p>
    <w:p>
      <w:r>
        <w:t>Parteien</w:t>
      </w:r>
    </w:p>
    <w:p>
      <w:r>
        <w:t>R.________ AG,</w:t>
      </w:r>
    </w:p>
    <w:p>
      <w:r>
        <w:t>Beschwerdeführerin,</w:t>
      </w:r>
    </w:p>
    <w:p>
      <w:r>
        <w:t>gegen</w:t>
      </w:r>
    </w:p>
    <w:p>
      <w:r>
        <w:t>Stiftung Auffangeinrichtung BVG,</w:t>
      </w:r>
    </w:p>
    <w:p>
      <w:r>
        <w:t>Zweigstelle Deutschschweiz, Binzstrasse 15,</w:t>
      </w:r>
    </w:p>
    <w:p>
      <w:r>
        <w:t>8045 Zürich, Beschwerdegegnerin.</w:t>
      </w:r>
    </w:p>
    <w:p>
      <w:r>
        <w:t>Gegenstand</w:t>
      </w:r>
    </w:p>
    <w:p>
      <w:r>
        <w:t>Berufliche Vorsorge,</w:t>
      </w:r>
    </w:p>
    <w:p>
      <w:r>
        <w:t>Beschwerde gegen den Entscheid des Bundesverwaltungsgerichts vom 20. Juni 2007.</w:t>
      </w:r>
    </w:p>
    <w:p>
      <w:r>
        <w:t>Nach Einsicht</w:t>
      </w:r>
    </w:p>
    <w:p>
      <w:r>
        <w:t>in die von der R.________ AG erhobene Beschwerde vom 25. Juli 2007 (Poststempel) gegen den Entscheid des Bundesverwaltungsgerichts vom 20. Juni 2007 (betreffend BVG-Beitragsforderung),</w:t>
      </w:r>
    </w:p>
    <w:p>
      <w:r>
        <w:t>in das Schreiben des Bundesgerichts vom 27. Juli 2007 an die R.________ AG, wonach die Beschwerde die gesetzlichen Formerfordernisse hinsichtlich Antrag und Begründung nicht zu erfüllen scheint und eine Verbesserung nur innert der Beschwerdefrist möglich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(nicht verbesserte) Eingabe der Beschwerdeführerin diesen gesetzlichen Mindestanforderungen an eine hinreichende Beschwerdebegründung offensichtlich nicht genügt, da ihr auch nicht ansatzweise eine inhaltliche Auseinandersetzung mit den entscheidwesentlichen Erwägungen der Vorinstanz zur Beitragsforderung der Stiftung Auffangeinrichtung BVG zu entnehmen ist,</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1000.- werden der Beschwerdeführerin auferlegt.</w:t>
      </w:r>
    </w:p>
    <w:p>
      <w:r>
        <w:t>3.</w:t>
      </w:r>
    </w:p>
    <w:p>
      <w:r>
        <w:t>Dieses Urteil wird den Parteien, dem Bundesverwaltungsgericht und dem Bundesamt für Sozialversicherungen schriftlich mitgeteilt.</w:t>
      </w:r>
    </w:p>
    <w:p>
      <w:r>
        <w:t>Luzern, 23. November 2007</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