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496/2009 vom 10. Juli 2009</w:t>
      </w:r>
    </w:p>
    <w:p>
      <w:r>
        <w:t>Bundesgericht, 2009-07-10, DE</w:t>
      </w:r>
    </w:p>
    <w:p>
      <w:r>
        <w:rPr>
          <w:b/>
        </w:rPr>
        <w:t xml:space="preserve">Quelle: </w:t>
      </w:r>
      <w:r>
        <w:t>https://mcp.opencaselaw.ch/entscheid/bger_9C_496_2009</w:t>
      </w:r>
    </w:p>
    <w:p>
      <w:r>
        <w:t>FR: TF 9C 496/2009 du 10 juillet 2009</w:t>
      </w:r>
    </w:p>
    <w:p>
      <w:r>
        <w:t>IT: TF 9C 496/2009 del 10 luglio 2009</w:t>
      </w:r>
    </w:p>
    <w:p>
      <w:pPr>
        <w:pStyle w:val="Heading2"/>
      </w:pPr>
      <w:r>
        <w:t>Regeste</w:t>
      </w:r>
    </w:p>
    <w:p>
      <w:r>
        <w:t>Ergänzungsleistung zur AHV/IV | Ergänzungsleistung</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einschliesslich einer allfälligen rechtsfehlerhaften Tatsachenfeststellung, wozu auch die unvollständige Tatsachenermittlung zählt ( Art. 97 Abs. 1, Art. 105 Abs. 2 BGG ).</w:t>
      </w:r>
    </w:p>
    <w:p>
      <w:r>
        <w:rPr>
          <w:b/>
        </w:rPr>
        <w:t>E. 2</w:t>
      </w:r>
    </w:p>
    <w:p>
      <w:r>
        <w:t>Der Katalog der letztinstanzlich gestellten Rechtsbegehren entspricht den bereits vorinstanzlich erhobenen Anträgen. Wie dort sind auch hier einzelne Begehren nicht begründet, und kann schon nur deshalb nicht darauf eingetreten werden.</w:t>
      </w:r>
    </w:p>
    <w:p>
      <w:r>
        <w:rPr>
          <w:b/>
        </w:rPr>
        <w:t>E. 3</w:t>
      </w:r>
    </w:p>
    <w:p>
      <w:r>
        <w:t>Die Begründung der Beschwerde begnügt sich weitgehend mit der wörtlichen Wiedergabe des schon vorinstanzlich Vorgebrachten (hier wie dort: Ziff. III. 1-9). Die Beschwerdeführerin beschränkt sich so auf eine rein appellatorische Kritik des vorinstanzlichen Entscheides, worauf nicht einzugehen ist. Es sei lediglich darauf hingewiesen, dass nach Gesetz ( Art. 25 Abs. 1 ATSG ) und Rechtsprechung die Pflicht zur Rückerstattung unrechtmässig bezogener Ergänzungsleistungen (bspw.) im Falle einer Nachzahlung von Renten unabhängig von einer allfälligen Meldepflichtverletzung der Leistungsempfängerin besteht; es geht einzig darum, die gesetzliche Ordnung nach Entdecken einer neuen Tatsache wieder herzustellen ( BGE 122 V 134 E. 2d und e S. 138 f., 115 V 308 E. 4a/aa S. 313). Dass das Todesfall- und Pensionskapital gemäss Abrechnung der Winterthur Columna vom 19. August 2005 offensichtlich einen zur (rückwirkenden) Neuberechnung der laufenden Ergänzungsleistungen führenden Revisionsgrund darstellt, kann ernstlich nicht bestritten werden. Der Beschwerdeführerin ist es, durchaus unter Berücksichtigung ihrer Belege, in keinem Zeitpunkt des Verfahrens - im Rahmen der ihr obliegenden zumutbaren Mitwirkungspflicht - gelungen, im massgebenden Beurteilungszeitraum bis zum 21. April 2008 einen Vermögensverzehr nachzuweisen.</w:t>
      </w:r>
    </w:p>
    <w:p>
      <w:r>
        <w:rPr>
          <w:b/>
        </w:rPr>
        <w:t>E. 4</w:t>
      </w:r>
    </w:p>
    <w:p>
      <w:r>
        <w:t>Neu wird vorgebracht, trotz Antrag auf Befragung der Leistungsbezügerin habe die Vorinstanz die Beschwerde ohne eine solche durchzuführen abgewiesen (und dies nicht einmal begründet); damit habe sie Art. 29 Abs. 1 und 2 BV und Art. 6 Ziff. 1 EMRK verletzt; alleine schon deswegen sei der Entscheid aufzuheben. Diese Rüge zielt ins Leere: Die Vorinstanz hat ja dem Rechtsvertreter mit Einschreiben vom 16. September 2008 ausdrücklich mitgeteilt, ohne seinen Gegenbericht innert 10 Tagen werde davon ausgegangen, dass auf eine mündliche (und öffentliche) Verhandlung verzichtet werde; für diesen Fall stehe es ihm frei, innert 20 Tagen schriftlich Stellung zu nehmen. Der Rechtsvertreter entschied sich für die zweite Variante und replizierte mit Schreiben vom 7. Oktober 2008 schriftlich "innert mit Schreiben vom 16. September 2008 gesetzter Frist". Zur Frage einer mündlichen Verhandlung äusserte er sich nicht. Mit Recht teilte darum die Vorinstanz mit Schreiben vom 10. Oktober 2008 der Beschwerdegegnerin (mit Kopie an den Rechtsvertreter der Beschwerdeführerin) mit, die Beschwerdeführerin habe stillschweigend auf eine mündliche und öffentliche Verhandlung verzichtet. In diesem Zusammenhang nachträglich den Vorwurf der Grund- und Menschenrechtsverletzung zu erheben, geht fehl.</w:t>
      </w:r>
    </w:p>
    <w:p>
      <w:r>
        <w:rPr>
          <w:b/>
        </w:rPr>
        <w:t>E. 5</w:t>
      </w:r>
    </w:p>
    <w:p>
      <w:r>
        <w:t>Zu den in den Ziff. 10 und 11 der Beschwerde behaupteten Mängeln der Aktenführung und der Beweiserhebung bleibt nur festzustellen, dass sie nach wie vor - wenn überhaupt - nur ungenügend substanziiert sind; da in diesem Zusammenhang die Verletzung von Verfassungsrecht vorgebracht wird, ist auf Art. 106 Abs. 2 BGG hinzuweisen, der in solchen Fällen eine qualifizierte Begründungspflicht vorschreibt: Das Bundesgericht prüft die Verletzung von Grundrechten nur insofern, als eine solche Rüge in der Beschwerde vorgebracht und begründet worden ist, was hier nicht zutrifft.</w:t>
      </w:r>
    </w:p>
    <w:p>
      <w:r>
        <w:rPr>
          <w:b/>
        </w:rPr>
        <w:t>E. 6</w:t>
      </w:r>
    </w:p>
    <w:p>
      <w:r>
        <w:t>Was die Auferlegung einer Entscheidgebühr wegen mutwilliger Prozessführung und die in diesem Zusammenhang gerügte Verletzung des rechtlichen Gehörs betrifft, bleibt anzufügen, dass sich im materiellen Rechtsstreit der Anspruch auf rechtliches Gehör primär auf Sachverhaltsfragen und nur ausnahmsweise auf deren rechtliche Würdigung bezieht. Die Rechtsfragen sind vom kantonalen Gericht von Amtes wegen ( Art. 110 BGG ) zu prüfen und die Parteien haben damit ohne Weiteres zu rechnen (zu Weiterem vgl. BGE 133 III 139 [Urteil 4P.168/2006 vom 19. Februar 2007] nicht publ. E. 7.1; 130 III 35 E. 5 S. 38; je mit Hinweisen). Hier ging es aber nicht einmal um das Recht zur Wahrnehmung von Verfahrensrechten im Rechtsstreit, sondern um eine rein formelle Verfahrensrechtsfrage, deren Regelung alleine in der Kompetenz der Vorinstanz liegt, wie etwa auch der Entscheid, ob eine Beschwerde gutzuheissen oder abzuweisen ist. Bei den weiteren Vorbringen der Beschwerdeführerin gegen die Auferlegung der Entscheidgebühr handelt es sich um solche, die die vorinstanzliche Begründung dafür eher zu stützen als zu schwächen vermögen.</w:t>
      </w:r>
    </w:p>
    <w:p>
      <w:r>
        <w:rPr>
          <w:b/>
        </w:rPr>
        <w:t>E. 7</w:t>
      </w:r>
    </w:p>
    <w:p>
      <w:r>
        <w:t>Die Beschwerde hatte keine Aussicht auf Erfolg, weshalb sie im vereinfachten Verfahren nach Art. 109 BGG , soweit zulässig, als offensichtlich unbegründet (Abs. 2 lit. a), ohne Durchführung des Schriftenwechsels, mit summarischer Begründung und unter Verweis auf den vorinstanzlichen Entscheid erledigt wird.</w:t>
      </w:r>
    </w:p>
    <w:p>
      <w:r>
        <w:rPr>
          <w:b/>
        </w:rPr>
        <w:t>E. 8</w:t>
      </w:r>
    </w:p>
    <w:p>
      <w:r>
        <w:t>Mit dem Urteil wird der Antrag auf Erteilung der aufschiebenden Wirkung gegenstandslos.</w:t>
      </w:r>
    </w:p>
    <w:p>
      <w:r>
        <w:rPr>
          <w:b/>
        </w:rPr>
        <w:t>E. 9</w:t>
      </w:r>
    </w:p>
    <w:p>
      <w:r>
        <w:t>Bei diesem Ausgang des Verfahrens wird die unterliegende Beschwerdeführerin kostenpflichtig ( Art. 66 Abs. 1 BGG ). Das Gesuch um unentgeltliche Rechtspflege ist abzuweisen, da die Beschwerde aussichtslos war ( Art. 64 Abs. 1 und 2 BGG ).</w:t>
      </w:r>
    </w:p>
    <w:p>
      <w:r>
        <w:rPr>
          <w:b/>
        </w:rPr>
        <w:t>E. 10</w:t>
      </w:r>
    </w:p>
    <w:p>
      <w:r>
        <w:t>Rechtsanwalt Walker wird auf die Regelung in Art. 66 Abs. 3 BGG aufmerksam gemacht und zudem darauf hingewiesen, dass mutwillige Prozessführung vor Bundesgericht mit Ordnungsbusse geahndet werden kann ( Art. 33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