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9C_495/2007 vom 5. September 2007</w:t>
      </w:r>
    </w:p>
    <w:p>
      <w:r>
        <w:t>Bundesgericht, 2007-09-05, DE</w:t>
      </w:r>
    </w:p>
    <w:p>
      <w:r>
        <w:rPr>
          <w:b/>
        </w:rPr>
        <w:t xml:space="preserve">Quelle: </w:t>
      </w:r>
      <w:r>
        <w:t>https://mcp.opencaselaw.ch/entscheid/bger_9C_495_2007</w:t>
      </w:r>
    </w:p>
    <w:p>
      <w:r>
        <w:t>FR: TF 9C_495/2007 du 5 septembre 2007</w:t>
      </w:r>
    </w:p>
    <w:p>
      <w:r>
        <w:t>IT: TF 9C_495/2007 del 5 settembre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Akten werden dem Kantonsgericht Basel-Landschaft zurückgesandt, damit es den angefochtenen Entscheid im Sinne der Erwägungen verbessere.</w:t>
      </w:r>
    </w:p>
    <w:p>
      <w:r>
        <w:rPr>
          <w:b/>
        </w:rPr>
        <w:t>E. 2</w:t>
      </w:r>
    </w:p>
    <w:p>
      <w:r>
        <w:t>Dem Beschwerdeführer wird für das Verfahren vor Bundesgericht die unentgeltliche Rechtspflege und Verbeiständung gewährt, unter Beiordnung von Rechtsanwalt Dr. Peter Studer, Dornach, als amtlicher Anwalt.</w:t>
      </w:r>
    </w:p>
    <w:p>
      <w:r>
        <w:rPr>
          <w:b/>
        </w:rPr>
        <w:t>E. 3</w:t>
      </w:r>
    </w:p>
    <w:p>
      <w:r>
        <w:t>Für diese Verfügung werden keine Kosten erhoben.</w:t>
      </w:r>
    </w:p>
    <w:p>
      <w:r>
        <w:rPr>
          <w:b/>
        </w:rPr>
        <w:t>E. 4</w:t>
      </w:r>
    </w:p>
    <w:p>
      <w:r>
        <w:t>Diese Verfügung wird den Parteien, dem Kantonsgericht Basel-Landschaft, Abteilung Sozialversicherungsrecht, der Ausgleichskasse der Wirtschaftskammer Baselland, Basel, und dem Bundesamt für Sozialversicherungen zugestellt.</w:t>
      </w:r>
    </w:p>
    <w:p>
      <w:r>
        <w:t>Luzern, 5. September 2007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Instruktionsrichter: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