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492/2022 vom 26. Juni 2023</w:t>
      </w:r>
    </w:p>
    <w:p>
      <w:r>
        <w:t>Bundesgericht, 2023-06-26, DE</w:t>
      </w:r>
    </w:p>
    <w:p>
      <w:r>
        <w:rPr>
          <w:b/>
        </w:rPr>
        <w:t xml:space="preserve">Quelle: </w:t>
      </w:r>
      <w:r>
        <w:t>https://mcp.opencaselaw.ch/entscheid/bger_9C_492_2022</w:t>
      </w:r>
    </w:p>
    <w:p>
      <w:r>
        <w:t>FR: TF 9C 492/2022 du 26 juin 2023</w:t>
      </w:r>
    </w:p>
    <w:p>
      <w:r>
        <w:t>IT: TF 9C 492/2022 del 26 giugno 2023</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mit Hinweisen; BGE 133 III 545 E. 2.2; BGE 130 III 136 E. 1.4). Immerhin prüft das Bundesgericht, unter Berücksichtigung der allgemeinen Begründungspflicht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mit Hinweisen).</w:t>
      </w:r>
    </w:p>
    <w:p>
      <w:r>
        <w:rPr>
          <w:b/>
        </w:rPr>
        <w:t>E. 1.3</w:t>
      </w:r>
    </w:p>
    <w:p>
      <w:r>
        <w:t>Ein Mangel in der Sachverhaltsfeststellung gemäss Art. 105 Abs. 2 BGG liegt nicht bereits dann vor, wenn eine andere Lösung ebenfalls vertretbar erscheint oder gar vorzuziehen wäre.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2</w:t>
      </w:r>
    </w:p>
    <w:p>
      <w:r>
        <w:t>Streitig und zu prüfen ist, ob das kantonale Gericht Bundesrecht verletzt hat, als es die per 1. Juli 2019 erfolgte Aufhebung der halben Rente der Invalidenversicherung bestätigte.</w:t>
      </w:r>
    </w:p>
    <w:p>
      <w:r>
        <w:rPr>
          <w:b/>
        </w:rPr>
        <w:t>E. 3.1</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b Abs. 1 bleibt für Rentenbezügerinnen und -bezüger, deren Rentenanspruch vor Inkrafttreten dieser Änderung entstanden ist und die bei Inkrafttreten der Änderung zwar das 30., aber noch nicht das 55. Altersjahr noch nicht vollendet haben, der bisherige Rentenanspruch solange bestehen, bis sich der Invaliditätsgrad nach Art. 17 Abs. 1 ATSG ändert. Zwar erging die dem hier angefochtenen Entscheid zugrunde liegende Verfügung erst nach dem 1. Januar 2022. Vorliegend steht indessen eine Rentenaufhebung per 1. Juli 2019 zur Diskussion. Damit beurteilt sich die vorliegende Streitigkeit allein nach der bis zum 31. Dezember 2021 geltenden Rechtslage. Da der Beschwerdeführer zudem am 1. Januar 2022 zwar das 30., aber noch nicht das 55. Altersjahr vollendet hatte, bliebe ein allenfalls über den 1. Juli 2019 hinaus bestehender Rentenanspruch so lange weiterbestehen, bis ein (neuerlicher) Revisionsgrund nach Art. 17 Abs. 1 ATSG eintreten würde.</w:t>
      </w:r>
    </w:p>
    <w:p>
      <w:r>
        <w:rPr>
          <w:b/>
        </w:rPr>
        <w:t>E. 3.2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3.3</w:t>
      </w:r>
    </w:p>
    <w:p>
      <w:r>
        <w:t>Ändert sich der Invaliditätsgrad einer Rentenbezügerin oder eines Rentenbezügers erheblich, so wird die Rente nach Art. 17 Abs. 1 ATSG von Amtes wegen oder auf Gesuch hin für die Zukunft entsprechend erhöht, herabgesetzt oder aufgehoben (sog. "Rentenrevision"). Liegt ein Revisionsgrund vor, ist der Rentenanspruch in rechtlicher und tatsächlicher Hinsicht umfassend ("allseitig") zu prüfen, wobei keine Bindung an frühere Beurteilungen besteht ( BGE 141 V 9 E. 2.3 mit weiteren Hinweisen). Dabei kann unter Umständen auch eine Verschlechterung des Gesundheitszustandes Anlass für eine Aufhebung der Rente sein (vgl. BGE 141 V 9 E. 6.4).</w:t>
      </w:r>
    </w:p>
    <w:p>
      <w:r>
        <w:rPr>
          <w:b/>
        </w:rPr>
        <w:t>E. 4.1</w:t>
      </w:r>
    </w:p>
    <w:p>
      <w:r>
        <w:t>Es steht fest und ist unbestritten, dass der Gesundheitszustand des Versicherten sich im massgebenden Zeitraum, mithin in der Zeit zwischen der Rentenherabsetzung vom 29. November 2011 und der Rentenaufhebung vom 14. Mai 2019 wesentlich verändert hat. Während Vorinstanz und Verwaltung von einer Verbesserung ausgehen, macht der Beschwerdeführer eine wesentliche Verschlechterung geltend, weshalb er die Erhöhung der halben auf eine ganze Invalidenrente verlangt. Da damit ein Revisionsgrund im Sinne von Art. 17 Abs. 1 ATSG vorliegt, hat das kantonale Gericht den Rentenanspruch des Versicherten zu Recht in rechtlicher und tatsächlicher Hinsicht frei und ohne Bindung an frühere Entscheide neu geprüft (vgl. E. 3.3 hievor).</w:t>
      </w:r>
    </w:p>
    <w:p>
      <w:r>
        <w:rPr>
          <w:b/>
        </w:rPr>
        <w:t>E. 4.2</w:t>
      </w:r>
    </w:p>
    <w:p>
      <w:r>
        <w:t>Das kantonale Gericht hat in umfassender Würdigung der medizinischen Akten, insbesondere aber gestützt auf das ABI-Gutachten vom 1. November 2021 für das Bundesgericht grundsätzlich verbindlich festgestellt, dass der Versicherte seit September 2018 sowohl in seiner angestammten Tätigkeit als Geschäftsführer als auch in einer angepassten körperlich sehr leichten Tätigkeit zu mindestens 80 % arbeitsfähig ist. Nicht abgestellt hat die Vorinstanz demgegenüber auf das Gutachten des Dr. med. C.________ vom 20. November 2018, womit die Einwände des Versicherten gegen diese Expertise nicht näher geprüft werden müssen (vgl. Urteil 9C_290/2022 vom 11. Januar 2023 E. 4.4). Daran vermag auch der Umstand nichts zu ändern, dass die Gutachter des ABI die von Dr. med. C.________ postulierte 80 %ige Arbeitsfähigkeit bestätigten.</w:t>
      </w:r>
    </w:p>
    <w:p>
      <w:r>
        <w:rPr>
          <w:b/>
        </w:rPr>
        <w:t>E. 4.3</w:t>
      </w:r>
    </w:p>
    <w:p>
      <w:r>
        <w:t>Soweit sich der Beschwerdeführer gegen das Abstellen der Vorinstanz auf das ABI-Gutachten vom 1. November 2021 wendet, ist festzuhalten, dass rechtsprechungsgemäss auf im Verfahren nach Art. 44 ATSG eingeholte Gutachten abzustellen ist, wenn nicht konkrete Indizien gegen die Zuverlässigkeit der Expertise sprechen ( BGE 135 V 465 E. 4.4). Solche vermag der Versicherte in seiner Beschwerde keine zu benennen. Der Umstand, dass der behandelnde Psychiater offenbar in Kenntnis des Gutachtens ohne nähere Begründung an seiner höheren Arbeitsunfähigkeitsschätzung festhält, stellt für sich alleine kein solches Indiz dar, weshalb auch offenbleiben kann, ob der entsprechende Bericht vom 23. April 2022 mit Blick auf Art. 99 BGG überhaupt berücksichtigt werden darf. Soweit der Versicherte ferner bezüglich des orthopädischen Teilgutachtens auf das Suva-Verfahren verweist, legt er nicht dar, dass in jenem Verfahren eine medizinische Fachperson die Ansicht geäussert hatte, seine Arbeitsfähigkeit sei in einer angepassten Tätigkeit aufgrund seines somatischen Leidens zeitlich eingeschränkt. Insbesondere ist daran zu erinnern, dass die Einschätzung des ABI-Gutachters mit derjenigen des Suva-Kreisarzts Dr. med. D.________, Facharzt für Orthopädische Chirurgie und Traumatologie des Bewegungsapparates, gemäss Bericht vom 28. November 2019 übereinstimmt, wonach bei Einhaltung des Zumutbarkeitsprofils ein ganztägiger Einsatz möglich ist. Weiter bestehen entgegen den Vorbringen des Versicherten keine konkreten Indizien dafür, dass die Experten die Anforderungen der vom Beschwerdeführer zuletzt ausgeübten Tätigkeit als Geschäftsführers eines Kebabhauses unterschätzt hätten. Somit hat die Vorinstanz kein Bundesrecht verletzt, als sie auch bezüglich der Aussage, wonach er diese Tätigkeit zu mindestens 80 % weiter ausführen kann, auf das Gutachten abgestellt hat.</w:t>
      </w:r>
    </w:p>
    <w:p>
      <w:r>
        <w:rPr>
          <w:b/>
        </w:rPr>
        <w:t>E. 4.4</w:t>
      </w:r>
    </w:p>
    <w:p>
      <w:r>
        <w:t>Vorinstanz und Verwaltung haben beide Vergleichseinkommen, mithin sowohl das Validen- wie auch das Invalideneinkommen, ausgehend von statistischen Werten gemäss den Angaben des Schweizerischen Gewerbeverbands und den Tabellenlöhnen der Schweizerischen Lohnstrukturerhebung (LSE) bestimmt. Dies ist im Grundsatz nicht zu beanstanden, allerdings ist nicht nachvollziehbar, weshalb im vorliegenden Fall für die beiden Vergleichseinkommen je von unterschiedlichen statistischen Löhnen ausgegangen werden müsste. Wie bereits das kantonale Gericht angemerkt hat, kann - so die beiden Vergleichseinkommen wir hier ausgehend vom gleichen statistischen Wert bestimmt werden können - auf dessen genaue Ermittlung verzichtet werden. Diesfalls entspricht der Invaliditätsgrad nach der allgemeinen Methode des Einkommensvergleichs (vgl. Art. 16 ATSG ) - vorbehältlich eines allfälligen Abzuges im Sinne von BGE 126 V 75 E. 5 - dem Grad der Arbeitsunfähigkeit (vgl. auch Urteil 8C_213/2022 vom 4. August 2022 E. 4.6.1 mit weiterem Hinweis). Bei einem medizinisch-theoretischen Arbeitsunfähigkeitsgrad von 20 % würde sich somit selbst bei einem (zusätzlichen) Abzug vom Tabellenlohn im Sinne von BGE 126 V 75 E. 5 in der Höhe von 20 % noch kein rentenbegründender Invaliditätsgrad ergeben. Die Beschwerde des Versicherten ist somit ohne Weiterungen zur Gebotenheit eines solchen Abzuges abzuweisen.</w:t>
      </w:r>
    </w:p>
    <w:p>
      <w:r>
        <w:rPr>
          <w:b/>
        </w:rPr>
        <w:t>E. 5</w:t>
      </w:r>
    </w:p>
    <w:p>
      <w:r>
        <w:t>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