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489/2015 vom 11. Februar 2016</w:t>
      </w:r>
    </w:p>
    <w:p>
      <w:r>
        <w:t>Bundesgericht, 2016-02-11, DE</w:t>
      </w:r>
    </w:p>
    <w:p>
      <w:r>
        <w:rPr>
          <w:b/>
        </w:rPr>
        <w:t xml:space="preserve">Quelle: </w:t>
      </w:r>
      <w:r>
        <w:t>https://mcp.opencaselaw.ch/entscheid/bger_9C_489_2015</w:t>
      </w:r>
    </w:p>
    <w:p>
      <w:r>
        <w:t>FR: TF 9C 489/2015 du 11 février 2016</w:t>
      </w:r>
    </w:p>
    <w:p>
      <w:r>
        <w:t>IT: TF 9C 489/2015 del 11 febbraio 2016</w:t>
      </w:r>
    </w:p>
    <w:p>
      <w:pPr>
        <w:pStyle w:val="Heading2"/>
      </w:pPr>
      <w:r>
        <w:t>Regeste</w:t>
      </w:r>
    </w:p>
    <w:p>
      <w:r>
        <w:t>Krankenversicherung (Krankenpflege; Ambulante Behandlung) | Krankenversicherung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Unbestritten ist die (vitale) Notwendigkeit der nächtlichen Beatmungsüberwachun g der am Undine-Syndrom leidenden Versicherten sowie da ss die - auf ärztlichen Auftrag hin - zu diesem Zwecke erbrachten Spitexleistungen wirksam und zweckmässig sind. Ebenfalls unstrittig ist, dass die Interventionen der Spitex, d.h. die in den Berichten der Spitex dokumentierten und von der Beschwerdeführerin auf 3,33 Stunden pro Nacht veranschlagten "tatsächlichen Vorkehren und Handlungen" als Behandlungspflege im Sinne von Art. 7 Abs. 2 lit. b Ziff. 1, 4 und 9 zu qualifizieren sind. Streitig ist einzig, ob die Beschwerdeführerin ab 1. Juni 2013 auch Beiträge an die Kosten für die zwischen den Interventionen liegenden Zeiten zu übernehmen hat. Das kantonale Gericht hat die für die Beurteilung der Streitsache massgeblichen materiellrechtlichen Grundlagen gemäss Gesetz und Rechtsprechung zutreffend dargelegt, worauf verwiesen wird. Dies betrifft namentlich die Bestimmungen und Grundsätze zur Umschreibung des Leistungsbereichs der obligatorischen Krankenpflegeversicherung (Art. 24 mit Verweis auf Art. 25-31 und 32-34 KVG), zu den allgemeinen Leistungen bei Krankheit ( Art. 25 KVG ) und den Pflegeleistungen bei Krankheit ( Art. 25a Abs. 1 KVG ) sowie zum Leistungsbereich bei Krankenpflege zu Hause, ambulant oder im Pflegeheim ( Art. 7 KLV ). Zutreffend wiedergegeben wurde ferner die Rechtsprechung zum Wirtschaftlichkeitsgebot. Zu ergänzen ist, dass die obligatorische Krankenpflegeversicherung bei Geburtsgebrechen ( Art. 3 Abs. 2 ATSG ), die nicht durch die Invalidenversicherung gedeckt sind, die Kosten für die gleichen Leistungen wie bei Krankheit übernimmt ( Art. 27 KVG ).</w:t>
      </w:r>
    </w:p>
    <w:p>
      <w:r>
        <w:rPr>
          <w:b/>
        </w:rPr>
        <w:t>E. 3</w:t>
      </w:r>
    </w:p>
    <w:p>
      <w:r>
        <w:t>Die Vorinstanz setzte sich einleitend mit dem Undine-Syndrom auseinander und stellte fest, ohne künstliche Beatmung würde die Versicherte nachts ersticken, weshalb sie maschinell beatmet werden müsse. Die Beatmung wiederum müsse permanent durch Pflegefachleute überwacht werden. Diese Überwachung lasse sich unter die Pflichtleistungen gemäss Art. 7 Abs. 1 und 2 lit. b KLV subsumieren. Indes stelle sich die Beschwerdeführerin auf den Standpunkt, es seien nur tatsächliche Vorkehren (Interventionen) zu entschädigen, nicht aber "wartende" Zeiten. In der Folge setzte sich das kantonale Gericht einlässlich mit den dokumentierten Spitexleistungen auseinander und erwog, die pflegerischen Massnahmen umfassten die Überwachung lebensbedrohlicher Situationen (Unterbrechung der Verbindung der Beatmungsmaschine mit dem Beatmungsschlauch, Überwachung kritischer Momente im Tiefschlaf), die Bewältigung von Alarmen mittels situativem Lagerungswechsel, Wecken der Versicherten, Kontrolle und gegebenenfalls Fixierung der Beatmungsmaske, des Weiteren das Entfernen von Kondenswasser aus dem Schlauch, das Anpassen des Drucks am Gerät, die Überprüfung der Messdaten sowie die Überwachung des Geräts mit Blick auf sonstige Ausfälle. Diese Massnahmen fielen tatsächlich alle wiederholt an. Pro Nacht seien teilweise deutlich mehr als 20 Alarme zu verzeichnen. Der anfallende Pflegeaufwand sei weder zeitlich noch qualitativ planbar. Aus der Pflegedokumentation und dem (undatierten [Posteingang IV-Stelle: 22. April 2014]) Arztbericht des Universitätsspitals D.________ erhelle, dass die Interventionen nur gewährleistet werden könnten, wenn die Pflegefachkraft einerseits die Versicherte selbst und andererseits das Beatmungsgerät während der medizinisch ausgewiesenen Schlafphasen von total 58 Stunden pro Woche durchgehend genau beobachte. Mithin stelle die Überwachung, welche stete Aufmerksamkeit bedinge, um ein sofortiges Eingreifen zum Einleiten von vital notwendigen Massnahmen sicherzustellen, eine durchgehend aktive Tätigkeit dar, die als Behandlungspflege zu qualifizieren sei. Daran ändere nichts, dass in den Akten teils von "Sitzwache" gesprochen werde. Schliesslich sei die Spitex-Pflege auch wirtschaftlich. Als Alternative zur Spitex falle eine Betreuung in einem Pflegeheim ausser Betracht, weil in einem solchen die notwendigen Bedürfnisse in zeitlicher Hinsicht nicht abgedeckt werden könnten. Überdies wäre ein stationäres Pflegeumfeld - weil jegliche Sozial- und Tagesstruktur der Versicherten, welche ein normales Leben zu führen versuche, auseinandergerissen würde - ungeeignet und daher unz weckmässig. Somit bestünde als Alternative, trotz fehlender Spitalbedürftigkeit, nur die Behandlung in einer Spitaleinrichtung. Eine solche wäre indes ebenfalls unzweckmässig, abgesehen davon, dass kostenseitig kein grobes Missverhältnis zwischen den Spitex-Kosten und den Kosten eines stationären Spitalaufenthalts bestehe.</w:t>
      </w:r>
    </w:p>
    <w:p>
      <w:r>
        <w:rPr>
          <w:b/>
        </w:rPr>
        <w:t>E. 4.1</w:t>
      </w:r>
    </w:p>
    <w:p>
      <w:r>
        <w:t>Die Beschwerdeführerin rügt zur Hauptsache, das kantonale Gericht habe Art. 7 in Verbindung mit 7a Abs. 1 lit. b KLV verletzt, indem es davon ausgegangen sei, die Überwachung der Atmungsfunktionen stelle eine aktive Tätigkeit dar, welche im Rahmen der Behandlungspflege im Sinne von Art. 7 Abs. 2 lit. b KLV von der obligatorischen Krankenpflegeversicherung zu übernehmen sei. Eine "durchgehend aktive Tätigkeit" sei bei den anhand der Pflegedokumentation effektiv ausgewiesenen Wartezeiten offensichtlich nicht erstellt. Zwar erfolgten zwischen den ausgewiesenen Alarmen Kontrollen in regelmässigen Abständen. Nichtsdestotrotz lägen zwischen den einzelnen Einsätzen "wartende" Zeiten, in welchen die Spitex keine Handlungen vornehme. Ein Sitzen bzw. Warten bis zur nächsten Handlung sei von Art. 7 Abs. 2 lit. b KLV nicht erfasst. Vom Gesetzgeber könne nicht gewollt sein, mehr als die effektiven Handlungen resp. aktiven Interventionen der Spitex zu vergüten. Die vorinstanzliche Auffassung widerspreche denn auch der bundesgerichtlichen Rechtsprechung (Urteil 9C_43/2012 vom 12. Juli 2012, in: Pflegerecht 2013 S. 48 f.). Aus dem Umstand, dass tatsächlich Behandlungspflegeleistungen nach KVG erbracht würden, habe die Vorinstanz zu Unrecht geschlossen, es seien auch wartende Zeiten der Spitex vollumfänglich zu vergüten.</w:t>
      </w:r>
    </w:p>
    <w:p>
      <w:r>
        <w:rPr>
          <w:b/>
        </w:rPr>
        <w:t>E. 4.2</w:t>
      </w:r>
    </w:p>
    <w:p>
      <w:r>
        <w:t>Die Beschwerdegegnerin hält dagegen, beschwerdeweise werde nicht aufgezeigt, weshalb die vorinstanzliche Sachverhaltsfeststellung, wonach die Überwachung zweifelsohne eine durchgehend aktive Tätigkeit darstelle, offensichtlich unrichtig sein soll. Fehl gehe der Verweis auf das Urteil 9C_43/2012. In diesem sei im Gegenteil festgestellt worden, dass "tote" Zeiten nicht als Momente qualifiziert werden dürften, für welche keine Leistungspflicht der obligatorischen Krankenpflegeversicherung bestehe.</w:t>
      </w:r>
    </w:p>
    <w:p>
      <w:r>
        <w:rPr>
          <w:b/>
        </w:rPr>
        <w:t>E. 5</w:t>
      </w:r>
    </w:p>
    <w:p>
      <w:r>
        <w:t>Welche Handlungen die Spitex im Einzelnen ausführt und mit welcher Regelmässigkeit, hat das kantonale Gericht - für das Bundesgericht grundsätzlich verbindlich (E. 1 hievor) - festgestellt. Als Rechtsfrage frei zu prüfen ist dagegen, ob - wie von der Vorinstanz angenommen - die erbrachten Spitexleistungen vollumfänglich als Massnahmen im Sinne von Art. 7 Abs. 2 lit. b KLV zu qualifizieren sind (erwähntes Urteil 9C_43/2012 E. 4.1).</w:t>
      </w:r>
    </w:p>
    <w:p>
      <w:r>
        <w:rPr>
          <w:b/>
        </w:rPr>
        <w:t>E. 5.1</w:t>
      </w:r>
    </w:p>
    <w:p>
      <w:r>
        <w:t>Das Vorbringen der Beschwerdeführerin, die Überwachung der Atmung stelle entgegen der Vorinstanz keine "durchgehend aktive Tätigkeit" dar bzw. zwischen den Einsätzen lägen "wartende" Zeiten, während denen die Pflegefachkraft keine Handlungen vornehme, zielt ins Leere. Die Beschwerdeführerin verma g nichts vorzubringen, was die auf der Pflegedokumentation u nd dem (undatierten) Arztbericht des Universitätsspitals D.________ beruhende Feststellung des kantonalen Gerichts, die Pflegefachkraft müsse das Beatmungsgerät während der medizinisch ausgewiesenen Schlafphasen durchgehend genau beobachten bzw. die Überwachung der Atmung bedinge stete Aufmerksamkeit, als offensichtlich unrichtig oder sonstwie bundesrechtswidrig erscheinen liesse. Gegenteils ist mit dem kantonalen Gericht anhand der Pflegedokumentation erstellt, dass jede Nacht zahlreiche - in Ausnahmefällen bis zu 42 - Alarme zu bewältigen sind. Dabei treten wiederkehrend prekäre Situationen wie z.B. Verbindungsunterbrüche des Beatmungsschlauches ein, welche angesichts der Folgen einer fehlenden Sauerstoffversorgung ein sofortiges und zielführendes Handeln der Pflegefachkraft erfordern. Unter diesen Umständen ist ohne Weiteres einleuchtend, dass das umgehende Einleiten der jeweils indizierten Massnahmen stete Aufmerksamkeit in Bezug auf Patientin und Beatmungsgerät erfordert. Im Einklang damit steht auch der (undatierte) pneumologische Bericht des Universitätsspitals D.________, in welchem die Notwendigkeit einer kontinuierlichen, "engmaschigsten" Kontrolle der Beatmung betont wird. Abgesehen davon sagt der Umstand, dass zwischen den erwähnten Interventionen und Kontrollen keine "aktive Handlung" vorgenommen wird, nichts über die Qualität der Überwachung (durchwegs aufmerksam beobachtend oder passiv wartend) aus und genügt deshalb für sich allein ohnehin nicht für die Qualifikation als blosse Sitzwache (die mit einer Massnahme im Sinne von Art. 7 Abs. 2 lit. b KLV nicht vereinbar sei). Damit hat es beim vorinstanzlichen Schluss sein Bewenden, die nächtliche Überwachung der Beatmung bzw. des Beatmungsgeräts stelle aufgrund der notwendigen steten Aufmerksamkeit und Interventionsbereitschaft eine durchgehend aktive Tätigkeit dar.</w:t>
      </w:r>
    </w:p>
    <w:p>
      <w:r>
        <w:rPr>
          <w:b/>
        </w:rPr>
        <w:t>E. 5.2</w:t>
      </w:r>
    </w:p>
    <w:p>
      <w:r>
        <w:t>Ausgehend vom hievor Dargelegten subsumierte die Vorinstanz die Tätigkeit des Überwachens unter die Massnahmen gemäss Art. 7 Abs. 2 lit. b (Ziff. 1, 4 und 9) KLV. Dies hält vor Bundesrecht stand: Nebst den Interventionen und Kontrollen, die unbestrittenermassen unter die Ziff. 1 und 4 der genannten Bestimmung fallen, sieht deren Ziff. 9 als Leistung die Überwachung u.a. von Geräten vor, die der Behandlung oder der Kontrolle und Erhaltung von vitalen Funktionen dienen. Zu jener Gerätekategorie ist das Beatmungsgerät der Versicherten zweifellos zu zählen. Anders als die Beschwerdeführerin meint, steht die Qualifikation der Beatmungsüberwachung als Behandlungspflege nicht im Widerspruch zur bundesgerichtlichen Praxis, insbesondere zum erwähnten Urteil 9C_43/2012: In jenem Verfahren waren "tote" Zeiten (Zeiten ohne Vornahme von pflegerischen oder medizinischen Massnahmen) zu beurteilen, während denen - u.a. wegen Aspirationsgefahr des an einem Hirntumor erkrankten Kleinkinds - eine stetige Bereitschaft der Kinderspitexfachkraft gewährleistet sein musste. Mithin waren die notwendigen Interventionen bzw. behandlungspflegerischen Massnahmen - wie auch im vorliegenden Fall - weder planbar noch konnten sie durch ein Alarmsystem organisiert werden. Das Bundesgericht erkannte, weil eine ständige Bereitschaft gewährleistet sein müsse, seien auch die während den "toten" Zeiten erbrachten Spitexleistungen als Behandlungspflege im Sinne von Art. 7 Abs. 2 lit. b KLV zu qualifizieren (a.a.O., E. 4.1.1 und 4.1.2; vgl. im Übrigen auch Urteil 8C_457/2014 vom 5. September 2014 E. 3.2 betreffend die Leistungspflicht des Unfallversicherers für eine 24-Stundenüberwachung). Eine zum vorliegenden Fall konträre Praxis ist somit nicht auszumachen.</w:t>
      </w:r>
    </w:p>
    <w:p>
      <w:r>
        <w:rPr>
          <w:b/>
        </w:rPr>
        <w:t>E. 6</w:t>
      </w:r>
    </w:p>
    <w:p>
      <w:r>
        <w:t>Des Weiteren rügt die Beschwerdeführerin die vorinstanzlichen Ausführungen zur Wirtschaftlichkeit der Spitexleistungen und bemängelt dabei zahlreiche Feststellungen des kantonalen Gerichts. Sie unterlässt es jedoch, konkret und substanziiert aufzuzeigen, dass entgegen dem angefochtenen Entscheid eine wirksame und zweckmässige Alternative zur ambulanten Pflege durch die Spitex besteht (nota bene wird vielmehr geltend gemacht, ein Kostenvergleich mit einem Pflegeheim oder Spital sei vorliegend nicht möglich). Dies ist auch (anderweitig) nicht ersichtlich. Fehlt es aber an einer wirksamen und zweckmässigen Alternative zur Spitexpflege, stellt sich die Frage nach der Wirtschaftlichkeit nicht (zum komparativen Charakter der Wirtschaftlichkeit: Urteil 9C_417/2015 vom 14. Dezember 2015 E. 5.2.1 mit Hinweisen, zur Publikation in BGE 141 V vorgesehen; GEBHARD EUGSTER, Die obligatorische Krankenpflegeversicherung, in: Soziale Sicherheit, SBVR Bd. XIV, 3. Aufl. 2015, S. 510 Rz. 335, S. 511 Rz. 339). Folglich braucht auf die einzelnen Einwendungen, weil nicht einmal ansatzweise dargetan wird, inwiefern die gerügten Sachverhaltselemente für den Ausgang des Verfahrens entscheidend sein können (E. 1 hievor; vgl. auch MARKUS SCHOTT, in: Basler Kommentar, Bundesgerichtsgesetz, 2. Aufl. 2011, N. 23 zu Art. 97 BGG ), nicht weiter eingegangen zu werden.</w:t>
      </w:r>
    </w:p>
    <w:p>
      <w:r>
        <w:rPr>
          <w:b/>
        </w:rPr>
        <w:t>E. 7</w:t>
      </w:r>
    </w:p>
    <w:p>
      <w:r>
        <w:t>Zumindest sinngemäss wendet die Beschwerdeführerin schliesslich ein, die Kosten der Spitexleistungen hielten vor dem Verhältnismässigkeitsprinzip ( Art. 5 Abs. 2 BV ) nicht stand. Eine Leistung ist nach der Rechtsprechung zu verweigern, wenn zwischen Aufwand und Heilerfolg ein grobes Missverhältnis besteht ( BGE 136 V 395 E. 7.4 S. 407 f.). Ein solches bejahte das Bundesgericht namentlich bei Kosten von rund Fr. 750'000.- bis Fr. 900'000.- für die Therapiedauer von eineinhalb Jahren bei ungewissem Ausmass der gesundheitlichen Verbesserung (Verhinderung oder Verlangsamung der weiteren Reduktion der Lungenleistung, der nächtlichen Beatmung, einer nicht näher quantifizierten Reduktion der Gehstrecke und der zunehmenden Kamptokormie) einer 69-jährigen Versicherten (a.a.O., E. 6.10 S. 406). Hier verhält es sich jedoch anders: Bereits die jährlichen Kosten sind rund dreimal tiefer als jene im erwähnten Entscheid. Zudem ist in concreto der hohe Nutzen der (lebensnotwendigen) Spitexleistungen unbestrittenermassen erstellt, welche der im Zeitpunkt des Einspracheentscheids 24-jährigen erwerbstätigen Versicherten ein weitgehend normales Leben ermöglichen. Von einem groben Missverhältnis zwischen Kosten und Nutzen kann somit nicht gesprochen werden.</w:t>
      </w:r>
    </w:p>
    <w:p>
      <w:r>
        <w:rPr>
          <w:b/>
        </w:rPr>
        <w:t>E. 8</w:t>
      </w:r>
    </w:p>
    <w:p>
      <w:r>
        <w:t>Nach dem Gesagten hat es bei dem in allen Teilen bundesrechtskonformen vorinstanzlichen Entscheid sein Bewenden. Die unterliegende Beschwerdeführerin trägt die Verfahrenskosten ( Art. 66 Abs. 1 Satz 1 BGG ). Die Beschwerdegegnerin hat keinen Anspruch auf Parteientschädigung, da sie als restfinanzierungspflichtige Gemeinde in ihrem amtlichen Wirkungskreis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