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9C_489/2014 vom 14. Juli 2014</w:t>
      </w:r>
    </w:p>
    <w:p>
      <w:r>
        <w:t>Bundesgericht, 2014-07-14, DE</w:t>
      </w:r>
    </w:p>
    <w:p>
      <w:r>
        <w:rPr>
          <w:b/>
        </w:rPr>
        <w:t xml:space="preserve">Quelle: </w:t>
      </w:r>
      <w:r>
        <w:t>https://mcp.opencaselaw.ch/entscheid/bger_9C_489_2014</w:t>
      </w:r>
    </w:p>
    <w:p>
      <w:r>
        <w:t>FR: TF 9C_489/2014 du 14 juillet 2014</w:t>
      </w:r>
    </w:p>
    <w:p>
      <w:r>
        <w:t>IT: TF 9C_489/2014 del 14 luglio 2014</w:t>
      </w:r>
    </w:p>
    <w:p>
      <w:pPr>
        <w:pStyle w:val="Heading2"/>
      </w:pPr>
      <w:r>
        <w:t>Erwägungen</w:t>
      </w:r>
    </w:p>
    <w:p>
      <w:r>
        <w:rPr>
          <w:b/>
        </w:rPr>
        <w:t>E. 1</w:t>
      </w:r>
    </w:p>
    <w:p>
      <w:r>
        <w:t>Die Beschwerde richtet sich gegen einen Zwischenentscheid im Sinne von Art. 92 f. BGG. Zwischenverfügungen, mit denen eine Begutachtung angeordnet wird, sind vor kantonalem Versicherungsgericht resp. Bundesverwaltungsgericht anfechtbar ( BGE 137 V 210 E. 3.4.2.7 S. 256). Vor Bundesgericht getragen kann ein Rechtsstreit um Fragen der Anordnung einer Administrativbegutachtung jedoch nur, sofern der angefochtene Entscheid den Ausstand einer sachverständigen Person im konkreten Fall betrifft (vgl. Art. 92 Abs. 1 BGG ; BGE 138 V 271 ). Hinsichtlich anderer Aspekte prüft das Bundesgericht die Anordnung des Gutachtens gegebenenfalls zusammen mit dem Endentscheid auf deren Bundesrechtskonformität hin (vgl. Art. 93 Abs. 3 BGG ).</w:t>
      </w:r>
    </w:p>
    <w:p>
      <w:r>
        <w:rPr>
          <w:b/>
        </w:rPr>
        <w:t>E. 2.1</w:t>
      </w:r>
    </w:p>
    <w:p>
      <w:r>
        <w:t>Das kantonale Gericht stellte zunächst fest, bei der Vergabe des Auftrags zur Begutachtung seien die gesetzlichen Bestimmungen und die einschlägigen Verwaltungsweisungen eingehalten worden (E. 3.2.2). Somit stehe fest, dass sich der Beschwerdeführer grundsätzlich durch die bezeichnete Medizinische Abklärungsstelle X.________ begutachten zu lassen habe (E. 3.2.4). Sodann setzte sich die Vorinstanz anhand der vorgebrachten Ablehnungsgründe eingehend mit der persönlichen und fachlichen Eignung der Sachverständigen Dres. med. D.________, F.________, H.________ und E.________ auseinander, ebenso mit der Frage, ob alle wesentlichen Fachdisziplinen abgedeckt sind (E. 3.3.3 bis 3.3.6). Gestützt auf diese Erwägungen schloss sie, die IV-Stelle sei bei der Auswahl der Gutachterstelle korrekt vorgegangen (E. 3.4).</w:t>
      </w:r>
    </w:p>
    <w:p>
      <w:r>
        <w:rPr>
          <w:b/>
        </w:rPr>
        <w:t>E. 2.2</w:t>
      </w:r>
    </w:p>
    <w:p>
      <w:r>
        <w:t>Der Beschwerdeführer bringt vor, die IV-Stelle habe nicht nachgewiesen, dass die "Zufallsauslosung" durch die Vergabeplattform SuisseMED@P erfolgt sei (Ziff. 3.2 der Beschwerdeschrift). Auch seien im Zusammenhang mit der Gutachterbestellung weitere Grundsätze nach BGE 137 V 210 unberücksichtigt geblieben (E. 3.3). Diese vom kantonalen Gericht verworfenen und vor Bundesgericht erneuerten Rügen betreffen nicht - im Zwischenverfahren letztinstanzlich allein anrufbare - formelle personenbezogene Ablehnungsgründe ( Art. 55 Abs. 1 ATSG in Verbindung mit Art. 19 VwVG , Art. 58 Abs. 1 BZP und Art. 34 BGG ; vgl. oben E. 1).</w:t>
      </w:r>
    </w:p>
    <w:p>
      <w:r>
        <w:rPr>
          <w:b/>
        </w:rPr>
        <w:t>E. 2.3</w:t>
      </w:r>
    </w:p>
    <w:p>
      <w:r>
        <w:t>Weiter macht der Beschwerdeführer unter anderem organisatorische Mängel geltend, was die Zusammenarbeit der vorgesehenen Medizinischen Abklärungsstelle X.________ mit den bezeichneten Gutachtern Dres. med. D.________, E._________ und H.________ angeht. Auch rügt er ein in früheren Fällen zum Ausdruck kommendes fachliches Ungenügen der Frau Dr. F.________ (Ziff. 3.4 der Beschwerdeschrift).</w:t>
      </w:r>
    </w:p>
    <w:p>
      <w:r>
        <w:t>Das Bundesgericht hat wiederholt festgehalten, dass Vorbringen zur Fachkompetenz (als sog. materielle Einwendungen) dem Bundesgericht nicht schon im Rahmen eines Zwischenverfahrens zur Beurteilung vorgelegt werden können ( BGE 138 V 271 und zahlreiche darauf bauende Nichteintretensentscheide). Formelle personenbezogene Ablehnungsgründe im Sinne von Art. 92 Abs. 1 BGG ergeben sich stets aus dem Einzelfall. Im Zusammenhang mit angeblichen früheren Fehlleistungen einer Medizinischen Abklärungsstelle X.________ oder dort tätiger Sachverständiger müsste daher hinreichend begründet werden, weshalb der Beizug der fraglichen Sachverständigen im konkreten Fall einen Ablehnungsgrund darstellen soll (vgl. BGE 138 V 271 E. 2.2.2 S. 277).</w:t>
      </w:r>
    </w:p>
    <w:p>
      <w:r>
        <w:rPr>
          <w:b/>
        </w:rPr>
        <w:t>E. 3</w:t>
      </w:r>
    </w:p>
    <w:p>
      <w:r>
        <w:t>Nach dem Gesagten ist die Beschwerde offensichtlich unzulässig ( Art. 108 Abs. 1 lit. a BGG ). Auf das Rechtsmittel wäre im Übrigen schon deswegen nicht einzutreten gewesen, weil in der Beschwerde nicht begründet wird, inwiefern die dort dargelegten Umstände den kantonalen Zwischenentscheid ausnahmsweise anfechtbar machen sollten ( Art. 42 Abs. 2 und Art. 108 Abs. 1 lit. b BGG ).</w:t>
      </w:r>
    </w:p>
    <w:p>
      <w:r>
        <w:rPr>
          <w:b/>
        </w:rPr>
        <w:t>E. 4</w:t>
      </w:r>
    </w:p>
    <w:p>
      <w:r>
        <w:t>Dem Ausgang des Verfahrens entsprechend wird der Beschwerdeführer kostenpflichtig ( Art. 66 Abs. 1 BGG ). Das Gesuch um unentgeltliche Rechtspflege kann nicht bewilligt werden. Die Erledigung im vereinfachten Verfahren ( Art. 108 Abs. 2 BGG ) führt zu reduzierten Gerichtskosten (Urteil 9C_743/2012 vom 10.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