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9C_486/2011 vom 12. Oktober 2011</w:t>
      </w:r>
    </w:p>
    <w:p>
      <w:r>
        <w:t>Bundesgericht, 2011-10-12, FR</w:t>
      </w:r>
    </w:p>
    <w:p>
      <w:r>
        <w:rPr>
          <w:b/>
        </w:rPr>
        <w:t xml:space="preserve">Quelle: </w:t>
      </w:r>
      <w:r>
        <w:t>https://mcp.opencaselaw.ch/entscheid/bger_9C_486_2011</w:t>
      </w:r>
    </w:p>
    <w:p>
      <w:r>
        <w:t>FR: TF 9C_486/2011 du 12 octobre 2011</w:t>
      </w:r>
    </w:p>
    <w:p>
      <w:r>
        <w:t>IT: TF 9C_486/2011 del 12 ottobre 2011</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le droit du recourant à une rente d'invalidité à partir du 1er avril 2008, singulièrement sur la détermination du revenu sans invalidité à la base de l'évaluation de sa perte de gains.</w:t>
      </w:r>
    </w:p>
    <w:p>
      <w:r>
        <w:rPr>
          <w:b/>
        </w:rPr>
        <w:t>E. 3.1</w:t>
      </w:r>
    </w:p>
    <w:p>
      <w:r>
        <w:t>Les premiers juges ont fixé le taux d'invalidité à 51,37 %. Ils ont déterminé le revenu sans invalidité en se fondant sur les chiffres figurant dans l'attestation de l'employeur. Il n'y avait pas lieu de tenir compte du plan de carrière établi par celui-ci, qui ne correspondait qu'à un avancement professionnel théorique et constituait un pur pronostic.</w:t>
      </w:r>
    </w:p>
    <w:p>
      <w:r>
        <w:rPr>
          <w:b/>
        </w:rPr>
        <w:t>E. 3.2</w:t>
      </w:r>
    </w:p>
    <w:p>
      <w:r>
        <w:t>Le recourant reproche à l'instance précédente d'avoir établi les faits de manière arbitraire et en violation du droit fédéral. Son taux d'invalidité serait de 61.8 %, lui ouvrant le droit à un trois quarts de rente. Ainsi, les premiers juges auraient dû retenir au titre de revenu sans invalidité fr. 5'500 (x13), soit le salaire d'un sous-chef de cuisine. Il aurait en effet occupé cette fonction entre 27 et 30 ans, comme l'avait indiqué l'hôtel X.________ SA. Le plan de carrière fourni par cet établissement - pronostic correspondant à son expérience, à sa formation professionnelle ainsi qu'à sa progression avant la survenance de son accident - constituerait un indice concret de ce qu'aurait été son évolution professionnelle s'il n'avait pas été atteint dans sa santé.</w:t>
      </w:r>
    </w:p>
    <w:p>
      <w:r>
        <w:rPr>
          <w:b/>
        </w:rPr>
        <w:t>E. 4.1</w:t>
      </w:r>
    </w:p>
    <w:p>
      <w:r>
        <w:t>Selon la jurisprudence,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Pour savoir s'il y a lieu de prendre en considération un changement hypothétique d'activité, les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(arrêt 9C_523/2008 du 25 mai 2009 consid. 2.2). Lorsque l'invalidité est la conséquence d'un accident, ces indices doivent déjà avoir existé au moment où celui-ci s'est produit (arrêt U 222/97 du 23 juin 1999 consid. 5c résumé in: REAS 2003 p. 66).</w:t>
      </w:r>
    </w:p>
    <w:p>
      <w:r>
        <w:rPr>
          <w:b/>
        </w:rPr>
        <w:t>E. 4.2</w:t>
      </w:r>
    </w:p>
    <w:p>
      <w:r>
        <w:t>En l'espèce, le recourant ne peut reprocher aux premiers juges d'avoir déterminé son revenu sans invalidité de manière manifestement inexacte ou arbitraire. Il ne ressort pas du plan de carrière dont il se prévaut que son ancien employeur lui aurait promis ou laissé entrevoir, avant la survenance de son accident en octobre 2003, un quelconque avancement professionnel. Au surplus ce document, établi en 2006, ne contient que des informations d'ordre général concernant la carrière "d'un jeune cuisinier comme Monsieur P.________", et n'explique pas en quoi la progression qui y est envisagée aurait été particulièrement probable dans son cas. Les formulations utilisées - "éventuelle évolution", [la carrière du recourant] "pourrait évoluer comme suit" - démontrent que le parcours professionnel décrit ne constitue rien de plus qu'une simple possibilité. On ne saurait dès lors en déduire l'existence d'indices concrets que le recourant aurait très vraisemblablement occupé en 2008 un poste de sous-chef de cuisine. Quant au courrier de l'hôtel X.________ SA du 31 mai 2011, il constitue un nouveau moyen de preuve qui ne peut pas être pris en compte (cf. consid. 1 supra). Le grief soulevé par le recourant doit ainsi être rejeté.</w:t>
      </w:r>
    </w:p>
    <w:p>
      <w:r>
        <w:rPr>
          <w:b/>
        </w:rPr>
        <w:t>E. 5</w:t>
      </w:r>
    </w:p>
    <w:p>
      <w:r>
        <w:t>Il suit de ce qui précède que le recours est mal fondé. Les frais judiciaires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