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9C_483/2024 vom 19. September 2024</w:t>
      </w:r>
    </w:p>
    <w:p>
      <w:r>
        <w:t>Bundesgericht, 2024-09-19, IT</w:t>
      </w:r>
    </w:p>
    <w:p>
      <w:r>
        <w:rPr>
          <w:b/>
        </w:rPr>
        <w:t xml:space="preserve">Quelle: </w:t>
      </w:r>
      <w:r>
        <w:t>https://mcp.opencaselaw.ch/entscheid/bger_9C_483_2024</w:t>
      </w:r>
    </w:p>
    <w:p>
      <w:r>
        <w:t>FR: TF 9C_483/2024 du 19 septembre 2024</w:t>
      </w:r>
    </w:p>
    <w:p>
      <w:r>
        <w:t>IT: TF 9C_483/2024 del 19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vengono prelevate spese.</w:t>
      </w:r>
    </w:p>
    <w:p>
      <w:r>
        <w:rPr>
          <w:b/>
        </w:rPr>
        <w:t>E. 3</w:t>
      </w:r>
    </w:p>
    <w:p>
      <w:r>
        <w:t>Comunicazione alle parti e al Tribunale amministrativo federale, Corte I.</w:t>
      </w:r>
    </w:p>
    <w:p>
      <w:r>
        <w:t>Lucerna, 19 settembre 2024</w:t>
      </w:r>
    </w:p>
    <w:p>
      <w:r>
        <w:t>In nome della III Corte di diritto pubblico</w:t>
      </w:r>
    </w:p>
    <w:p>
      <w:r>
        <w:t>del Tribunale federale svizzero</w:t>
      </w:r>
    </w:p>
    <w:p>
      <w:r>
        <w:t>Il Presidente: Parrino</w:t>
      </w:r>
    </w:p>
    <w:p>
      <w:r>
        <w:t>Il Cancelliere: Savoldelli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