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481/2009 vom 24. November 2009</w:t>
      </w:r>
    </w:p>
    <w:p>
      <w:r>
        <w:t>Bundesgericht, 2009-11-24, FR</w:t>
      </w:r>
    </w:p>
    <w:p>
      <w:r>
        <w:rPr>
          <w:b/>
        </w:rPr>
        <w:t xml:space="preserve">Quelle: </w:t>
      </w:r>
      <w:r>
        <w:t>https://mcp.opencaselaw.ch/entscheid/bger_9C_481_2009</w:t>
      </w:r>
    </w:p>
    <w:p>
      <w:r>
        <w:t>FR: TF 9C 481/2009 du 24 novembre 2009</w:t>
      </w:r>
    </w:p>
    <w:p>
      <w:r>
        <w:t>IT: TF 9C 481/2009 del 24 novembre 2009</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w:t>
      </w:r>
    </w:p>
    <w:p>
      <w:r>
        <w:rPr>
          <w:b/>
        </w:rPr>
        <w:t>E. 2</w:t>
      </w:r>
    </w:p>
    <w:p>
      <w:r>
        <w:t>Le litige porte sur la question de l'adhésion du recourant à l'assurance-vieillesse, survivants et invalidité facultative. La Caisse suisse de compensation, puis le Tribunal administratif fédéral, ont refusé la demande déposée par le recourant, au motif que ce dernier n'avait pas été assuré pendant cinq années ininterrompues immédiatement avant sa sortie de l'assurance obligatoire comme l'exigeait l' art. 2 al. 1 LAVS .</w:t>
      </w:r>
    </w:p>
    <w:p>
      <w:r>
        <w:rPr>
          <w:b/>
        </w:rPr>
        <w:t>E. 3.1</w:t>
      </w:r>
    </w:p>
    <w:p>
      <w:r>
        <w:t>L'assurance-vieillesse, survivants et invalidité est conçue comme un régime obligatoire d'assurance à couverture universelle qui offre une protection s'étendant aussi bien à la population vivant en Suisse qu'aux personnes qui entretiennent un lien étroit et effectif avec la Suisse comme par exemple celles qui y exercent une activité lucrative. L'affiliation à ce régime est individuelle. Cela signifie qu'il convient d'examiner pour chaque personne si elle en remplit personnellement les conditions ( art. 1a LAVS ; cf. ATF 131 V 97 consid. 4.3.3 p. 103; UELI KIESER, Alters- und Hinterlassenenversicherung, in Soziale Sicherheit, SBVR vol. XIV, 2e éd. 2007, p. 1209 n. 38 ss; GREBER/DUC/SCARTAZZINI, Commentaire des articles 1 à 16 de la loi fédérale sur l'assurance-vieillesse et survivants [LAVS], 1997, n. 4 ss ad art. 1 LAVS ).</w:t>
      </w:r>
    </w:p>
    <w:p>
      <w:r>
        <w:rPr>
          <w:b/>
        </w:rPr>
        <w:t>E. 3.2</w:t>
      </w:r>
    </w:p>
    <w:p>
      <w:r>
        <w:t>Dans sa forme actuelle, l'assurance-vieillesse, survivants et invalidité facultative est conçue comme une assurance de continuité pour les ressortissants suisses et les ressortissant des Etats membres de la Communauté européenne ou de l'Association européenne de libre-échange (AELE) vivant dans un Etat non membre de la Communauté européenne ou de l'AELE qui cessent définitivement ou provisoirement d'être soumis à l'assurance obligatoire, parce qu'ils partent s'établir ou séjourner à l'étranger. Elle est destinée à parfaire, voire à sauvegarder, les droits acquis dans l'assurance obligatoire, ce qui explique pourquoi elle n'est ouverte qu'aux personnes qui sortent de l'assurance obligatoire après y avoir été assurés de manière ininterrompue pendant cinq ans au moins ( art. 2 al.1 LAVS ; Message du 28 avril 1999 concernant une modification de la loi sur l'assurance-vieillesse et survivants [révision de l'assurance facultative], FF 1999 4616 n° 212.2). Comme sa dénomination l'indique, l'adhésion à cette assurance est facultative; la déclaration d'adhésion doit toutefois être déposée en la forme écrite auprès de la caisse de compensation ou, subsidiairement, auprès de la représentation compétente dans un délai d'un an à compter de la sortie de l'assurance obligatoire. Passé ce délai, il n'est plus possible d'adhérer à l'assurance facultative (art. 8 al. 1 de l'ordonnance du 26 mai 1961 concernant l'assurance-vieillesse, survivants et invalidité facultative [OAF; RS 831.111]).</w:t>
      </w:r>
    </w:p>
    <w:p>
      <w:r>
        <w:rPr>
          <w:b/>
        </w:rPr>
        <w:t>E. 4.1</w:t>
      </w:r>
    </w:p>
    <w:p>
      <w:r>
        <w:t>Sans contester qu'il présente une lacune d'assurance de cinq mois en 2005, le recourant invoque le droit à la protection de sa bonne foi. S'il n'a pas entrepris les démarches nécessaires pour adhérer à l'époque à l'assurance facultative, c'est parce qu'il ne ressortait pas explicitement de la brochure d'information sur l'assurance facultative publiée par l'OFAS que pour un ressortissant suisse domicilié à l'étranger, tout arrêt d'un rapport de travail avec un employeur domicilié en Suisse, ne fût-ce que pour quelques mois, lui faisait perdre sa qualité d'assurés auprès de l'assurance obligatoire. En l'absence d'indications plus précises, il est parti de l'idée que la situation était analogue à celle prévalant pour un ressortissant suisse résidant en Suisse et que, partant, il n'était pas tenu d'annoncer une période de battement sans cotisations.</w:t>
      </w:r>
    </w:p>
    <w:p>
      <w:r>
        <w:rPr>
          <w:b/>
        </w:rPr>
        <w:t>E. 4.2</w:t>
      </w:r>
    </w:p>
    <w:p>
      <w:r>
        <w:t>Le Tribunal administratif fédéral a répondu de manière convaincante à ces arguments, de sorte que l'on peut renvoyer à son jugement. Il a notamment expliqué que le recourant ne pouvait se prévaloir dans le cas particulier d'aucune promesse concrète et précise qui lui aurait été donnée par une autorité compétente dans le domaine en cause. La brochure d'information émise par l'OFAS n'avait pas non plus la portée que tente de lui donner le recourant. On ne pouvait déduire des informations très générales qu'elle contenait que le versement de la cotisation minimale annuelle maintenait le rapport d'assurance et libérait l'assuré vivant à l'étranger d'une demande d'adhésion à l'assurance facultative lorsque il n'était plus assuré à titre obligatoire. La brochure renvoyait d'ailleurs très clairement à la loi pour le règlement des cas individuels. Comme le relève à juste titre le Tribunal administratif fédéral, il appartenait au recourant, dans le doute, de s'adresser à l'une des autorités mentionnées dans la brochure d'information afin d'obtenir les renseignements utiles à son cas personnel. Celui-ci ne saurait tirer aujourd'hui avantage du fait qu'il a mal apprécié à l'époque la situation juridique et omis de prendre les précautions élémentaires qui lui aurait peut-être évité de se tromper.</w:t>
      </w:r>
    </w:p>
    <w:p>
      <w:r>
        <w:rPr>
          <w:b/>
        </w:rPr>
        <w:t>E. 5.1</w:t>
      </w:r>
    </w:p>
    <w:p>
      <w:r>
        <w:t>Le recourant dénonce également une violation du principe de l'égalité de traitement. Alors qu'une période temporaire sans cotisations au cours d'une année civile ne constitue pas pour un ressortissant suisse résidant en Suisse une interruption dans son affiliation à l'assurance obligatoire et n'empêche donc pas son adhésion future à l'assurance facultative, la même période ne permet plus pour un ressortissant suisse domicilié à l'étranger de remplir automatiquement la condition d'une durée d'affiliation à l'assurance obligatoire de cinq ans ininterrompus lui permettant de s'affilier à l'assurance facultative lors d'un nouveau séjour à l'étranger.</w:t>
      </w:r>
    </w:p>
    <w:p>
      <w:r>
        <w:rPr>
          <w:b/>
        </w:rPr>
        <w:t>E. 5.2</w:t>
      </w:r>
    </w:p>
    <w:p>
      <w:r>
        <w:t>Le fait que l'assujettissement est réglementé de manière différente selon qu'il s'agit de ressortissants suisses résidant en Suisse ou de ressortissants suisses domiciliés à l'étranger est justifié par la différence de conception entre assurance obligatoire et assurance facultative. L'assurance obligatoire est fondée sur le principe de l'universalité et l'affiliation a lieu d'office. L'assurance facultative est conçue en revanche comme une assurance de continuité destinée à un cercle délibérément restreint de personnes et l'affiliation se fait sur une base volontaire aux conditions fixées dans la loi et son ordonnance d'application. Puisque les situations ne sont pas semblables, on ne saurait dès lors voir dans cette distinction juridique une violation du principe de l'égalité de traitement ( ATF 134 I 23 consid. 9.1 p. 42 et les références). Au demeurant, même si le grief de violation du principe de l'égalité de traitement était fondé, l' art. 190 Cst. oblige le Tribunal fédéral à appliquer les lois fédérales. Il n'est pas habilité à en contrôler la constitutionnalité. Il peut tout au plus procéder à une interprétation conforme à la Constitution d'une loi fédérale, si les méthodes ordinaires d'interprétation laissent subsister un doute sur son sens ( ATF 129 II 249 consid. 5.4 p. 263 et les références). L'interprétation conforme à la Constitution trouve toutefois ses limites lorsque le texte et le sens de la disposition légale sont absolument clairs, quand bien même ils seraient contraires à la Constitution ( ATF 131 II 710 consid. 4.1 p. 716). Tel est bien le cas en l'espèce, puisque l' art. 2 al. 1 LAVS prévoit explicitement une période d'assurance ininterrompue d'au moins cinq ans.</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